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Times New Roman" w:hAnsi="Times New Roman" w:eastAsia="方正仿宋_GBK" w:cs="Times New Roman"/>
          <w:color w:val="auto"/>
          <w:sz w:val="32"/>
          <w:szCs w:val="32"/>
          <w:lang w:eastAsia="zh-CN"/>
        </w:rPr>
      </w:pPr>
      <w:r>
        <w:rPr>
          <w:rFonts w:ascii="Times New Roman" w:hAnsi="Times New Roman" w:eastAsia="方正仿宋_GBK" w:cs="Times New Roman"/>
          <w:color w:val="auto"/>
          <w:sz w:val="32"/>
          <w:szCs w:val="32"/>
        </w:rPr>
        <w:t>附件</w:t>
      </w:r>
      <w:r>
        <w:rPr>
          <w:rFonts w:hint="eastAsia" w:ascii="Times New Roman" w:hAnsi="Times New Roman" w:eastAsia="方正仿宋_GBK" w:cs="Times New Roman"/>
          <w:color w:val="auto"/>
          <w:sz w:val="32"/>
          <w:szCs w:val="32"/>
          <w:lang w:val="en-US" w:eastAsia="zh-CN"/>
        </w:rPr>
        <w:t>1</w:t>
      </w:r>
    </w:p>
    <w:p>
      <w:pPr>
        <w:spacing w:line="700" w:lineRule="exact"/>
        <w:jc w:val="center"/>
        <w:rPr>
          <w:rFonts w:hint="eastAsia" w:ascii="方正小标宋_GBK" w:hAnsi="方正小标宋_GBK" w:eastAsia="方正小标宋_GBK" w:cs="方正小标宋_GBK"/>
          <w:b/>
          <w:bCs/>
          <w:color w:val="auto"/>
          <w:sz w:val="32"/>
          <w:szCs w:val="32"/>
        </w:rPr>
      </w:pPr>
      <w:r>
        <w:rPr>
          <w:rFonts w:hint="eastAsia" w:ascii="方正小标宋_GBK" w:hAnsi="方正小标宋_GBK" w:eastAsia="方正小标宋_GBK" w:cs="方正小标宋_GBK"/>
          <w:b/>
          <w:bCs/>
          <w:color w:val="auto"/>
          <w:sz w:val="32"/>
          <w:szCs w:val="32"/>
          <w:lang w:val="en-US" w:eastAsia="zh-CN"/>
        </w:rPr>
        <w:t>玉溪市中医医院采集卡及检验科等科室耗材采购项目</w:t>
      </w:r>
    </w:p>
    <w:p>
      <w:pPr>
        <w:spacing w:line="700" w:lineRule="exact"/>
        <w:jc w:val="center"/>
        <w:rPr>
          <w:rFonts w:hint="eastAsia" w:ascii="方正小标宋_GBK" w:hAnsi="方正小标宋_GBK" w:eastAsia="方正小标宋_GBK" w:cs="方正小标宋_GBK"/>
          <w:b/>
          <w:bCs/>
          <w:color w:val="auto"/>
          <w:sz w:val="32"/>
          <w:szCs w:val="32"/>
        </w:rPr>
      </w:pPr>
      <w:r>
        <w:rPr>
          <w:rFonts w:hint="eastAsia" w:ascii="方正小标宋_GBK" w:hAnsi="方正小标宋_GBK" w:eastAsia="方正小标宋_GBK" w:cs="方正小标宋_GBK"/>
          <w:b/>
          <w:bCs/>
          <w:color w:val="auto"/>
          <w:sz w:val="32"/>
          <w:szCs w:val="32"/>
        </w:rPr>
        <w:t>产品描述</w:t>
      </w:r>
    </w:p>
    <w:p>
      <w:pPr>
        <w:rPr>
          <w:rFonts w:ascii="方正小标宋_GBK" w:hAnsi="方正小标宋_GBK" w:eastAsia="方正小标宋_GBK" w:cs="方正小标宋_GBK"/>
          <w:color w:val="auto"/>
          <w:sz w:val="44"/>
          <w:szCs w:val="44"/>
        </w:rPr>
      </w:pPr>
      <w:bookmarkStart w:id="48" w:name="_GoBack"/>
      <w:bookmarkEnd w:id="48"/>
    </w:p>
    <w:tbl>
      <w:tblPr>
        <w:tblStyle w:val="14"/>
        <w:tblW w:w="90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2645"/>
        <w:gridCol w:w="55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 w:type="dxa"/>
          </w:tcPr>
          <w:p>
            <w:pPr>
              <w:tabs>
                <w:tab w:val="left" w:pos="726"/>
              </w:tabs>
              <w:jc w:val="center"/>
              <w:rPr>
                <w:rFonts w:hint="eastAsia"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包件</w:t>
            </w:r>
          </w:p>
        </w:tc>
        <w:tc>
          <w:tcPr>
            <w:tcW w:w="2645" w:type="dxa"/>
          </w:tcPr>
          <w:p>
            <w:pPr>
              <w:tabs>
                <w:tab w:val="left" w:pos="726"/>
              </w:tabs>
              <w:jc w:val="center"/>
              <w:rPr>
                <w:rFonts w:hint="eastAsia"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产品名称</w:t>
            </w:r>
          </w:p>
        </w:tc>
        <w:tc>
          <w:tcPr>
            <w:tcW w:w="5514" w:type="dxa"/>
          </w:tcPr>
          <w:p>
            <w:pPr>
              <w:tabs>
                <w:tab w:val="left" w:pos="726"/>
              </w:tabs>
              <w:jc w:val="center"/>
              <w:rPr>
                <w:rFonts w:hint="eastAsia" w:ascii="方正仿宋_GBK" w:hAnsi="方正仿宋_GBK" w:eastAsia="方正仿宋_GBK" w:cs="方正仿宋_GBK"/>
                <w:b/>
                <w:bCs/>
                <w:color w:val="auto"/>
                <w:sz w:val="28"/>
                <w:szCs w:val="28"/>
              </w:rPr>
            </w:pPr>
            <w:r>
              <w:rPr>
                <w:rFonts w:hint="eastAsia" w:ascii="方正仿宋_GBK" w:hAnsi="方正仿宋_GBK" w:eastAsia="方正仿宋_GBK" w:cs="方正仿宋_GBK"/>
                <w:b/>
                <w:bCs/>
                <w:color w:val="auto"/>
                <w:sz w:val="28"/>
                <w:szCs w:val="28"/>
              </w:rPr>
              <w:t>产品描述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 w:type="dxa"/>
            <w:vAlign w:val="center"/>
          </w:tcPr>
          <w:p>
            <w:pPr>
              <w:pStyle w:val="10"/>
              <w:spacing w:line="240" w:lineRule="auto"/>
              <w:ind w:firstLine="0" w:firstLineChars="0"/>
              <w:jc w:val="center"/>
              <w:rPr>
                <w:rFonts w:hint="eastAsia" w:ascii="方正仿宋_GBK" w:hAnsi="方正仿宋_GBK" w:eastAsia="方正仿宋_GBK" w:cs="方正仿宋_GBK"/>
                <w:b/>
                <w:bCs/>
                <w:color w:val="auto"/>
                <w:kern w:val="2"/>
                <w:sz w:val="21"/>
                <w:szCs w:val="21"/>
                <w:lang w:val="en-US" w:eastAsia="zh-CN" w:bidi="ar-SA"/>
              </w:rPr>
            </w:pPr>
            <w:r>
              <w:rPr>
                <w:rFonts w:hint="eastAsia" w:ascii="方正仿宋_GBK" w:hAnsi="方正仿宋_GBK" w:eastAsia="方正仿宋_GBK" w:cs="方正仿宋_GBK"/>
                <w:b/>
                <w:bCs/>
                <w:color w:val="auto"/>
                <w:kern w:val="2"/>
                <w:sz w:val="21"/>
                <w:szCs w:val="21"/>
                <w:lang w:val="en-US" w:eastAsia="zh-CN" w:bidi="ar-SA"/>
              </w:rPr>
              <w:t>1</w:t>
            </w:r>
          </w:p>
        </w:tc>
        <w:tc>
          <w:tcPr>
            <w:tcW w:w="2645" w:type="dxa"/>
            <w:vAlign w:val="center"/>
          </w:tcPr>
          <w:p>
            <w:pPr>
              <w:pStyle w:val="10"/>
              <w:spacing w:line="240" w:lineRule="auto"/>
              <w:ind w:firstLine="0" w:firstLineChars="0"/>
              <w:jc w:val="center"/>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b/>
                <w:bCs/>
                <w:color w:val="auto"/>
                <w:kern w:val="2"/>
                <w:sz w:val="21"/>
                <w:szCs w:val="21"/>
                <w:lang w:val="en-US" w:bidi="ar-SA"/>
              </w:rPr>
              <w:t>幽门螺旋杆菌检测仪</w:t>
            </w:r>
            <w:r>
              <w:rPr>
                <w:rFonts w:hint="eastAsia" w:ascii="方正仿宋_GBK" w:hAnsi="方正仿宋_GBK" w:eastAsia="方正仿宋_GBK" w:cs="方正仿宋_GBK"/>
                <w:b/>
                <w:bCs/>
                <w:color w:val="auto"/>
                <w:kern w:val="2"/>
                <w:sz w:val="21"/>
                <w:szCs w:val="21"/>
                <w:lang w:val="en-US" w:eastAsia="zh-CN" w:bidi="ar-SA"/>
              </w:rPr>
              <w:t>采集卡</w:t>
            </w:r>
          </w:p>
        </w:tc>
        <w:tc>
          <w:tcPr>
            <w:tcW w:w="5514" w:type="dxa"/>
          </w:tcPr>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1.采集卡氢氧化锂含量≥200mg/份</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2.尺寸为≥140mm*80mm</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3.检测时无需揭膜再检测，单面测量</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b w:val="0"/>
                <w:bCs w:val="0"/>
                <w:color w:val="auto"/>
                <w:kern w:val="2"/>
                <w:sz w:val="21"/>
                <w:szCs w:val="21"/>
                <w:lang w:val="en-US" w:bidi="ar-SA"/>
              </w:rPr>
              <w:t>4.适用于型号GP1000(幽门螺旋杆菌检测仪）进行检测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 w:type="dxa"/>
            <w:vAlign w:val="center"/>
          </w:tcPr>
          <w:p>
            <w:pPr>
              <w:pStyle w:val="10"/>
              <w:spacing w:line="240" w:lineRule="auto"/>
              <w:ind w:firstLine="0" w:firstLineChars="0"/>
              <w:jc w:val="center"/>
              <w:rPr>
                <w:rFonts w:hint="eastAsia" w:ascii="方正仿宋_GBK" w:hAnsi="方正仿宋_GBK" w:eastAsia="方正仿宋_GBK" w:cs="方正仿宋_GBK"/>
                <w:b/>
                <w:bCs/>
                <w:color w:val="auto"/>
                <w:kern w:val="2"/>
                <w:sz w:val="21"/>
                <w:szCs w:val="21"/>
                <w:lang w:val="en-US" w:eastAsia="zh-CN" w:bidi="ar-SA"/>
              </w:rPr>
            </w:pPr>
            <w:r>
              <w:rPr>
                <w:rFonts w:hint="eastAsia" w:ascii="方正仿宋_GBK" w:hAnsi="方正仿宋_GBK" w:eastAsia="方正仿宋_GBK" w:cs="方正仿宋_GBK"/>
                <w:b/>
                <w:bCs/>
                <w:color w:val="auto"/>
                <w:kern w:val="2"/>
                <w:sz w:val="21"/>
                <w:szCs w:val="21"/>
                <w:lang w:val="en-US" w:eastAsia="zh-CN" w:bidi="ar-SA"/>
              </w:rPr>
              <w:t>2</w:t>
            </w:r>
          </w:p>
        </w:tc>
        <w:tc>
          <w:tcPr>
            <w:tcW w:w="2645" w:type="dxa"/>
            <w:vAlign w:val="center"/>
          </w:tcPr>
          <w:p>
            <w:pPr>
              <w:pStyle w:val="10"/>
              <w:spacing w:line="240" w:lineRule="auto"/>
              <w:ind w:firstLine="0" w:firstLineChars="0"/>
              <w:jc w:val="center"/>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b/>
                <w:bCs/>
                <w:color w:val="auto"/>
                <w:kern w:val="2"/>
                <w:sz w:val="21"/>
                <w:szCs w:val="21"/>
                <w:lang w:val="en-US" w:bidi="ar-SA"/>
              </w:rPr>
              <w:t>一次性使用活检针</w:t>
            </w:r>
          </w:p>
          <w:p>
            <w:pPr>
              <w:pStyle w:val="10"/>
              <w:spacing w:line="240" w:lineRule="auto"/>
              <w:ind w:firstLine="0" w:firstLineChars="0"/>
              <w:jc w:val="center"/>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b/>
                <w:bCs/>
                <w:color w:val="auto"/>
                <w:kern w:val="2"/>
                <w:sz w:val="21"/>
                <w:szCs w:val="21"/>
                <w:lang w:val="en-US" w:bidi="ar-SA"/>
              </w:rPr>
              <w:t>一次性使用穿刺活检针（穿刺枪）</w:t>
            </w:r>
          </w:p>
          <w:p>
            <w:pPr>
              <w:pStyle w:val="10"/>
              <w:spacing w:line="240" w:lineRule="auto"/>
              <w:ind w:firstLine="0" w:firstLineChars="0"/>
              <w:jc w:val="center"/>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b/>
                <w:bCs/>
                <w:color w:val="auto"/>
                <w:kern w:val="2"/>
                <w:sz w:val="21"/>
                <w:szCs w:val="21"/>
                <w:lang w:val="en-US" w:bidi="ar-SA"/>
              </w:rPr>
              <w:t>一次性使用穿刺针及附件</w:t>
            </w:r>
          </w:p>
          <w:p>
            <w:pPr>
              <w:pStyle w:val="10"/>
              <w:spacing w:line="240" w:lineRule="auto"/>
              <w:ind w:firstLine="0" w:firstLineChars="0"/>
              <w:jc w:val="center"/>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b/>
                <w:bCs/>
                <w:color w:val="auto"/>
                <w:kern w:val="2"/>
                <w:sz w:val="21"/>
                <w:szCs w:val="21"/>
                <w:lang w:val="en-US" w:bidi="ar-SA"/>
              </w:rPr>
              <w:t>一次性使用活检针及附件</w:t>
            </w:r>
          </w:p>
          <w:p>
            <w:pPr>
              <w:pStyle w:val="10"/>
              <w:spacing w:line="240" w:lineRule="auto"/>
              <w:ind w:firstLine="0" w:firstLineChars="0"/>
              <w:jc w:val="center"/>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b/>
                <w:bCs/>
                <w:color w:val="auto"/>
                <w:kern w:val="2"/>
                <w:sz w:val="21"/>
                <w:szCs w:val="21"/>
                <w:lang w:val="en-US" w:bidi="ar-SA"/>
              </w:rPr>
              <w:t>一次性使用穿刺针及附件</w:t>
            </w:r>
          </w:p>
          <w:p>
            <w:pPr>
              <w:pStyle w:val="10"/>
              <w:spacing w:line="240" w:lineRule="auto"/>
              <w:ind w:firstLine="0" w:firstLineChars="0"/>
              <w:jc w:val="center"/>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b/>
                <w:bCs/>
                <w:color w:val="auto"/>
                <w:kern w:val="2"/>
                <w:sz w:val="21"/>
                <w:szCs w:val="21"/>
                <w:lang w:val="en-US" w:bidi="ar-SA"/>
              </w:rPr>
              <w:t>一次性使用吸引活检针及附件</w:t>
            </w:r>
          </w:p>
        </w:tc>
        <w:tc>
          <w:tcPr>
            <w:tcW w:w="5514" w:type="dxa"/>
          </w:tcPr>
          <w:p>
            <w:pPr>
              <w:pStyle w:val="10"/>
              <w:numPr>
                <w:ilvl w:val="0"/>
                <w:numId w:val="1"/>
              </w:numPr>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b/>
                <w:bCs/>
                <w:color w:val="auto"/>
                <w:kern w:val="2"/>
                <w:sz w:val="21"/>
                <w:szCs w:val="21"/>
                <w:lang w:val="en-US" w:bidi="ar-SA"/>
              </w:rPr>
              <w:t>一次性使用活检针：</w:t>
            </w:r>
          </w:p>
          <w:p>
            <w:pPr>
              <w:pStyle w:val="10"/>
              <w:numPr>
                <w:ilvl w:val="0"/>
                <w:numId w:val="0"/>
              </w:numPr>
              <w:spacing w:line="240" w:lineRule="auto"/>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1</w:t>
            </w:r>
            <w:r>
              <w:rPr>
                <w:rFonts w:hint="eastAsia" w:ascii="方正仿宋_GBK" w:hAnsi="方正仿宋_GBK" w:eastAsia="方正仿宋_GBK" w:cs="方正仿宋_GBK"/>
                <w:color w:val="auto"/>
                <w:kern w:val="2"/>
                <w:sz w:val="21"/>
                <w:szCs w:val="21"/>
                <w:lang w:val="en-US" w:eastAsia="zh-CN" w:bidi="ar-SA"/>
              </w:rPr>
              <w:t>.1</w:t>
            </w:r>
            <w:r>
              <w:rPr>
                <w:rFonts w:hint="eastAsia" w:ascii="方正仿宋_GBK" w:hAnsi="方正仿宋_GBK" w:eastAsia="方正仿宋_GBK" w:cs="方正仿宋_GBK"/>
                <w:color w:val="auto"/>
                <w:kern w:val="2"/>
                <w:sz w:val="21"/>
                <w:szCs w:val="21"/>
                <w:lang w:val="en-US" w:bidi="ar-SA"/>
              </w:rPr>
              <w:t>产品由内外针座（MABS树脂材质）、内针杆（不锈钢AISI301)、外针管（不锈钢AISI304）、定位器（不锈钢AISI301)、保护套（PE聚乙烯）组成；</w:t>
            </w:r>
          </w:p>
          <w:p>
            <w:pPr>
              <w:pStyle w:val="10"/>
              <w:numPr>
                <w:ilvl w:val="0"/>
                <w:numId w:val="0"/>
              </w:numPr>
              <w:spacing w:line="240" w:lineRule="auto"/>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1.2</w:t>
            </w:r>
            <w:r>
              <w:rPr>
                <w:rFonts w:hint="eastAsia" w:ascii="方正仿宋_GBK" w:hAnsi="方正仿宋_GBK" w:eastAsia="方正仿宋_GBK" w:cs="方正仿宋_GBK"/>
                <w:color w:val="auto"/>
                <w:kern w:val="2"/>
                <w:sz w:val="21"/>
                <w:szCs w:val="21"/>
                <w:lang w:val="en-US" w:bidi="ar-SA"/>
              </w:rPr>
              <w:t>带有厘米刻度标记用于确定穿刺深度；</w:t>
            </w:r>
          </w:p>
          <w:p>
            <w:pPr>
              <w:pStyle w:val="10"/>
              <w:numPr>
                <w:ilvl w:val="0"/>
                <w:numId w:val="0"/>
              </w:numPr>
              <w:spacing w:line="240" w:lineRule="auto"/>
              <w:rPr>
                <w:rFonts w:hint="eastAsia" w:ascii="方正仿宋_GBK" w:hAnsi="方正仿宋_GBK" w:eastAsia="方正仿宋_GBK" w:cs="方正仿宋_GBK"/>
                <w:color w:val="auto"/>
                <w:kern w:val="2"/>
                <w:sz w:val="21"/>
                <w:szCs w:val="21"/>
                <w:lang w:val="en-US" w:eastAsia="zh-CN" w:bidi="ar-SA"/>
              </w:rPr>
            </w:pPr>
            <w:r>
              <w:rPr>
                <w:rFonts w:hint="eastAsia" w:ascii="方正仿宋_GBK" w:hAnsi="方正仿宋_GBK" w:eastAsia="方正仿宋_GBK" w:cs="方正仿宋_GBK"/>
                <w:color w:val="auto"/>
                <w:kern w:val="2"/>
                <w:sz w:val="21"/>
                <w:szCs w:val="21"/>
                <w:lang w:val="en-US" w:eastAsia="zh-CN" w:bidi="ar-SA"/>
              </w:rPr>
              <w:t>1.</w:t>
            </w:r>
            <w:r>
              <w:rPr>
                <w:rFonts w:hint="eastAsia" w:ascii="方正仿宋_GBK" w:hAnsi="方正仿宋_GBK" w:eastAsia="方正仿宋_GBK" w:cs="方正仿宋_GBK"/>
                <w:color w:val="auto"/>
                <w:kern w:val="2"/>
                <w:sz w:val="21"/>
                <w:szCs w:val="21"/>
                <w:lang w:val="en-US" w:bidi="ar-SA"/>
              </w:rPr>
              <w:t>3针尖采用回波反射增强技术，使其在超声下清晰可见；</w:t>
            </w:r>
            <w:r>
              <w:rPr>
                <w:rFonts w:hint="eastAsia" w:ascii="方正仿宋_GBK" w:hAnsi="方正仿宋_GBK" w:eastAsia="方正仿宋_GBK" w:cs="方正仿宋_GBK"/>
                <w:color w:val="auto"/>
                <w:kern w:val="2"/>
                <w:sz w:val="21"/>
                <w:szCs w:val="21"/>
                <w:lang w:val="en-US" w:eastAsia="zh-CN" w:bidi="ar-SA"/>
              </w:rPr>
              <w:t>1.</w:t>
            </w:r>
            <w:r>
              <w:rPr>
                <w:rFonts w:hint="eastAsia" w:ascii="方正仿宋_GBK" w:hAnsi="方正仿宋_GBK" w:eastAsia="方正仿宋_GBK" w:cs="方正仿宋_GBK"/>
                <w:color w:val="auto"/>
                <w:kern w:val="2"/>
                <w:sz w:val="21"/>
                <w:szCs w:val="21"/>
                <w:lang w:val="en-US" w:bidi="ar-SA"/>
              </w:rPr>
              <w:t>4精确校准的顶端切割装置确保准确手机组织标本，并使创伤最小化</w:t>
            </w:r>
            <w:r>
              <w:rPr>
                <w:rFonts w:hint="eastAsia" w:ascii="方正仿宋_GBK" w:hAnsi="方正仿宋_GBK" w:eastAsia="方正仿宋_GBK" w:cs="方正仿宋_GBK"/>
                <w:color w:val="auto"/>
                <w:kern w:val="2"/>
                <w:sz w:val="21"/>
                <w:szCs w:val="21"/>
                <w:lang w:val="en-US" w:eastAsia="zh-CN" w:bidi="ar-SA"/>
              </w:rPr>
              <w:t>；</w:t>
            </w:r>
          </w:p>
          <w:p>
            <w:pPr>
              <w:pStyle w:val="10"/>
              <w:numPr>
                <w:ilvl w:val="0"/>
                <w:numId w:val="0"/>
              </w:numPr>
              <w:spacing w:line="240" w:lineRule="auto"/>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1.5</w:t>
            </w:r>
            <w:r>
              <w:rPr>
                <w:rFonts w:hint="eastAsia" w:ascii="方正仿宋_GBK" w:hAnsi="方正仿宋_GBK" w:eastAsia="方正仿宋_GBK" w:cs="方正仿宋_GBK"/>
                <w:color w:val="auto"/>
                <w:kern w:val="2"/>
                <w:sz w:val="21"/>
                <w:szCs w:val="21"/>
                <w:lang w:val="en-US" w:bidi="ar-SA"/>
              </w:rPr>
              <w:t xml:space="preserve">进口产品                                                         </w:t>
            </w:r>
          </w:p>
          <w:p>
            <w:pPr>
              <w:pStyle w:val="10"/>
              <w:numPr>
                <w:ilvl w:val="0"/>
                <w:numId w:val="1"/>
              </w:numPr>
              <w:spacing w:line="240" w:lineRule="auto"/>
              <w:ind w:left="0" w:leftChars="0" w:firstLine="0" w:firstLineChars="0"/>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b/>
                <w:bCs/>
                <w:color w:val="auto"/>
                <w:kern w:val="2"/>
                <w:sz w:val="21"/>
                <w:szCs w:val="21"/>
                <w:lang w:val="en-US" w:bidi="ar-SA"/>
              </w:rPr>
              <w:t>一次性使用穿刺活检针（穿刺枪）</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eastAsia="zh-CN" w:bidi="ar-SA"/>
              </w:rPr>
            </w:pPr>
            <w:r>
              <w:rPr>
                <w:rFonts w:hint="eastAsia" w:ascii="方正仿宋_GBK" w:hAnsi="方正仿宋_GBK" w:eastAsia="方正仿宋_GBK" w:cs="方正仿宋_GBK"/>
                <w:color w:val="auto"/>
                <w:kern w:val="2"/>
                <w:sz w:val="21"/>
                <w:szCs w:val="21"/>
                <w:lang w:val="en-US" w:eastAsia="zh-CN" w:bidi="ar-SA"/>
              </w:rPr>
              <w:t>2.1</w:t>
            </w:r>
            <w:r>
              <w:rPr>
                <w:rFonts w:hint="eastAsia" w:ascii="方正仿宋_GBK" w:hAnsi="方正仿宋_GBK" w:eastAsia="方正仿宋_GBK" w:cs="方正仿宋_GBK"/>
                <w:color w:val="auto"/>
                <w:kern w:val="2"/>
                <w:sz w:val="21"/>
                <w:szCs w:val="21"/>
                <w:lang w:val="en-US" w:bidi="ar-SA"/>
              </w:rPr>
              <w:t>配合FNB各型号使用</w:t>
            </w:r>
            <w:r>
              <w:rPr>
                <w:rFonts w:hint="eastAsia" w:ascii="方正仿宋_GBK" w:hAnsi="方正仿宋_GBK" w:eastAsia="方正仿宋_GBK" w:cs="方正仿宋_GBK"/>
                <w:color w:val="auto"/>
                <w:kern w:val="2"/>
                <w:sz w:val="21"/>
                <w:szCs w:val="21"/>
                <w:lang w:val="en-US" w:eastAsia="zh-CN" w:bidi="ar-SA"/>
              </w:rPr>
              <w:t>；</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2.2</w:t>
            </w:r>
            <w:r>
              <w:rPr>
                <w:rFonts w:hint="eastAsia" w:ascii="方正仿宋_GBK" w:hAnsi="方正仿宋_GBK" w:eastAsia="方正仿宋_GBK" w:cs="方正仿宋_GBK"/>
                <w:color w:val="auto"/>
                <w:kern w:val="2"/>
                <w:sz w:val="21"/>
                <w:szCs w:val="21"/>
                <w:lang w:val="en-US" w:bidi="ar-SA"/>
              </w:rPr>
              <w:t>全自动Tru-cut型活检针；</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2.</w:t>
            </w:r>
            <w:r>
              <w:rPr>
                <w:rFonts w:hint="eastAsia" w:ascii="方正仿宋_GBK" w:hAnsi="方正仿宋_GBK" w:eastAsia="方正仿宋_GBK" w:cs="方正仿宋_GBK"/>
                <w:color w:val="auto"/>
                <w:kern w:val="2"/>
                <w:sz w:val="21"/>
                <w:szCs w:val="21"/>
                <w:lang w:val="en-US" w:bidi="ar-SA"/>
              </w:rPr>
              <w:t>3“V”型取样槽；</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2.</w:t>
            </w:r>
            <w:r>
              <w:rPr>
                <w:rFonts w:hint="eastAsia" w:ascii="方正仿宋_GBK" w:hAnsi="方正仿宋_GBK" w:eastAsia="方正仿宋_GBK" w:cs="方正仿宋_GBK"/>
                <w:color w:val="auto"/>
                <w:kern w:val="2"/>
                <w:sz w:val="21"/>
                <w:szCs w:val="21"/>
                <w:lang w:val="en-US" w:bidi="ar-SA"/>
              </w:rPr>
              <w:t>4超声增强不锈钢涂层，使全针在B超下清晰显影；</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2.</w:t>
            </w:r>
            <w:r>
              <w:rPr>
                <w:rFonts w:hint="eastAsia" w:ascii="方正仿宋_GBK" w:hAnsi="方正仿宋_GBK" w:eastAsia="方正仿宋_GBK" w:cs="方正仿宋_GBK"/>
                <w:color w:val="auto"/>
                <w:kern w:val="2"/>
                <w:sz w:val="21"/>
                <w:szCs w:val="21"/>
                <w:lang w:val="en-US" w:bidi="ar-SA"/>
              </w:rPr>
              <w:t>5多种口径和长度可供选择，产品规格以不同的颜色标注，便于区分；</w:t>
            </w:r>
          </w:p>
          <w:p>
            <w:pPr>
              <w:pStyle w:val="10"/>
              <w:numPr>
                <w:ilvl w:val="0"/>
                <w:numId w:val="0"/>
              </w:numPr>
              <w:spacing w:line="240" w:lineRule="auto"/>
              <w:ind w:leftChars="0"/>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2.</w:t>
            </w:r>
            <w:r>
              <w:rPr>
                <w:rFonts w:hint="eastAsia" w:ascii="方正仿宋_GBK" w:hAnsi="方正仿宋_GBK" w:eastAsia="方正仿宋_GBK" w:cs="方正仿宋_GBK"/>
                <w:color w:val="auto"/>
                <w:kern w:val="2"/>
                <w:sz w:val="21"/>
                <w:szCs w:val="21"/>
                <w:lang w:val="en-US" w:bidi="ar-SA"/>
              </w:rPr>
              <w:t xml:space="preserve">6进口产品                                                         </w:t>
            </w:r>
            <w:r>
              <w:rPr>
                <w:rFonts w:hint="eastAsia" w:ascii="方正仿宋_GBK" w:hAnsi="方正仿宋_GBK" w:eastAsia="方正仿宋_GBK" w:cs="方正仿宋_GBK"/>
                <w:color w:val="auto"/>
                <w:kern w:val="2"/>
                <w:sz w:val="21"/>
                <w:szCs w:val="21"/>
                <w:lang w:val="en-US" w:eastAsia="zh-CN" w:bidi="ar-SA"/>
              </w:rPr>
              <w:t>3.</w:t>
            </w:r>
            <w:r>
              <w:rPr>
                <w:rFonts w:hint="eastAsia" w:ascii="方正仿宋_GBK" w:hAnsi="方正仿宋_GBK" w:eastAsia="方正仿宋_GBK" w:cs="方正仿宋_GBK"/>
                <w:b/>
                <w:bCs/>
                <w:color w:val="auto"/>
                <w:kern w:val="2"/>
                <w:sz w:val="21"/>
                <w:szCs w:val="21"/>
                <w:lang w:val="en-US" w:bidi="ar-SA"/>
              </w:rPr>
              <w:t>一次性使用穿刺针及附件：</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3.</w:t>
            </w:r>
            <w:r>
              <w:rPr>
                <w:rFonts w:hint="eastAsia" w:ascii="方正仿宋_GBK" w:hAnsi="方正仿宋_GBK" w:eastAsia="方正仿宋_GBK" w:cs="方正仿宋_GBK"/>
                <w:color w:val="auto"/>
                <w:kern w:val="2"/>
                <w:sz w:val="21"/>
                <w:szCs w:val="21"/>
                <w:lang w:val="en-US" w:bidi="ar-SA"/>
              </w:rPr>
              <w:t>1穿刺针增强显影，直径18G，长度200mm，满足腹部手术的需求；</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3.</w:t>
            </w:r>
            <w:r>
              <w:rPr>
                <w:rFonts w:hint="eastAsia" w:ascii="方正仿宋_GBK" w:hAnsi="方正仿宋_GBK" w:eastAsia="方正仿宋_GBK" w:cs="方正仿宋_GBK"/>
                <w:color w:val="auto"/>
                <w:kern w:val="2"/>
                <w:sz w:val="21"/>
                <w:szCs w:val="21"/>
                <w:lang w:val="en-US" w:bidi="ar-SA"/>
              </w:rPr>
              <w:t>2</w:t>
            </w:r>
            <w:r>
              <w:rPr>
                <w:rFonts w:hint="eastAsia" w:ascii="方正仿宋_GBK" w:hAnsi="方正仿宋_GBK" w:eastAsia="方正仿宋_GBK" w:cs="方正仿宋_GBK"/>
                <w:color w:val="auto"/>
                <w:kern w:val="2"/>
                <w:sz w:val="21"/>
                <w:szCs w:val="21"/>
                <w:lang w:val="en-US" w:eastAsia="zh-CN" w:bidi="ar-SA"/>
              </w:rPr>
              <w:t xml:space="preserve"> </w:t>
            </w:r>
            <w:r>
              <w:rPr>
                <w:rFonts w:hint="eastAsia" w:ascii="方正仿宋_GBK" w:hAnsi="方正仿宋_GBK" w:eastAsia="方正仿宋_GBK" w:cs="方正仿宋_GBK"/>
                <w:color w:val="auto"/>
                <w:kern w:val="2"/>
                <w:sz w:val="21"/>
                <w:szCs w:val="21"/>
                <w:lang w:val="en-US" w:bidi="ar-SA"/>
              </w:rPr>
              <w:t>带穿刺架耗材的特殊型号，物料最齐全，含针导引器；3.</w:t>
            </w:r>
            <w:r>
              <w:rPr>
                <w:rFonts w:hint="eastAsia" w:ascii="方正仿宋_GBK" w:hAnsi="方正仿宋_GBK" w:eastAsia="方正仿宋_GBK" w:cs="方正仿宋_GBK"/>
                <w:color w:val="auto"/>
                <w:kern w:val="2"/>
                <w:sz w:val="21"/>
                <w:szCs w:val="21"/>
                <w:lang w:val="en-US" w:eastAsia="zh-CN" w:bidi="ar-SA"/>
              </w:rPr>
              <w:t>3</w:t>
            </w:r>
            <w:r>
              <w:rPr>
                <w:rFonts w:hint="eastAsia" w:ascii="方正仿宋_GBK" w:hAnsi="方正仿宋_GBK" w:eastAsia="方正仿宋_GBK" w:cs="方正仿宋_GBK"/>
                <w:color w:val="auto"/>
                <w:kern w:val="2"/>
                <w:sz w:val="21"/>
                <w:szCs w:val="21"/>
                <w:lang w:val="en-US" w:bidi="ar-SA"/>
              </w:rPr>
              <w:t>同时含有手术过程中需要的辅料，提高手术效率，使手术更加规范；</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3.</w:t>
            </w:r>
            <w:r>
              <w:rPr>
                <w:rFonts w:hint="eastAsia" w:ascii="方正仿宋_GBK" w:hAnsi="方正仿宋_GBK" w:eastAsia="方正仿宋_GBK" w:cs="方正仿宋_GBK"/>
                <w:color w:val="auto"/>
                <w:kern w:val="2"/>
                <w:sz w:val="21"/>
                <w:szCs w:val="21"/>
                <w:lang w:val="en-US" w:bidi="ar-SA"/>
              </w:rPr>
              <w:t>4灭菌要求：辐照灭菌，一次性使用；</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3.</w:t>
            </w:r>
            <w:r>
              <w:rPr>
                <w:rFonts w:hint="eastAsia" w:ascii="方正仿宋_GBK" w:hAnsi="方正仿宋_GBK" w:eastAsia="方正仿宋_GBK" w:cs="方正仿宋_GBK"/>
                <w:color w:val="auto"/>
                <w:kern w:val="2"/>
                <w:sz w:val="21"/>
                <w:szCs w:val="21"/>
                <w:lang w:val="en-US" w:bidi="ar-SA"/>
              </w:rPr>
              <w:t>5敞口喇叭形，对准进针可视化；</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3.</w:t>
            </w:r>
            <w:r>
              <w:rPr>
                <w:rFonts w:hint="eastAsia" w:ascii="方正仿宋_GBK" w:hAnsi="方正仿宋_GBK" w:eastAsia="方正仿宋_GBK" w:cs="方正仿宋_GBK"/>
                <w:color w:val="auto"/>
                <w:kern w:val="2"/>
                <w:sz w:val="21"/>
                <w:szCs w:val="21"/>
                <w:lang w:val="en-US" w:bidi="ar-SA"/>
              </w:rPr>
              <w:t>6</w:t>
            </w:r>
            <w:r>
              <w:rPr>
                <w:rFonts w:hint="eastAsia" w:ascii="方正仿宋_GBK" w:hAnsi="方正仿宋_GBK" w:eastAsia="方正仿宋_GBK" w:cs="方正仿宋_GBK"/>
                <w:color w:val="auto"/>
                <w:kern w:val="2"/>
                <w:sz w:val="21"/>
                <w:szCs w:val="21"/>
                <w:lang w:val="en-US" w:eastAsia="zh-CN" w:bidi="ar-SA"/>
              </w:rPr>
              <w:t xml:space="preserve"> </w:t>
            </w:r>
            <w:r>
              <w:rPr>
                <w:rFonts w:hint="eastAsia" w:ascii="方正仿宋_GBK" w:hAnsi="方正仿宋_GBK" w:eastAsia="方正仿宋_GBK" w:cs="方正仿宋_GBK"/>
                <w:color w:val="auto"/>
                <w:kern w:val="2"/>
                <w:sz w:val="21"/>
                <w:szCs w:val="21"/>
                <w:lang w:val="en-US" w:bidi="ar-SA"/>
              </w:rPr>
              <w:t>蝴蝶状手持位，拆装更便捷；</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3.</w:t>
            </w:r>
            <w:r>
              <w:rPr>
                <w:rFonts w:hint="eastAsia" w:ascii="方正仿宋_GBK" w:hAnsi="方正仿宋_GBK" w:eastAsia="方正仿宋_GBK" w:cs="方正仿宋_GBK"/>
                <w:color w:val="auto"/>
                <w:kern w:val="2"/>
                <w:sz w:val="21"/>
                <w:szCs w:val="21"/>
                <w:lang w:val="en-US" w:bidi="ar-SA"/>
              </w:rPr>
              <w:t>7全金属的引导通道，针尖无刮起塑胶碎屑的隐患；</w:t>
            </w:r>
          </w:p>
          <w:p>
            <w:pPr>
              <w:pStyle w:val="10"/>
              <w:numPr>
                <w:ilvl w:val="0"/>
                <w:numId w:val="0"/>
              </w:numPr>
              <w:spacing w:line="240" w:lineRule="auto"/>
              <w:ind w:leftChars="0"/>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3.</w:t>
            </w:r>
            <w:r>
              <w:rPr>
                <w:rFonts w:hint="eastAsia" w:ascii="方正仿宋_GBK" w:hAnsi="方正仿宋_GBK" w:eastAsia="方正仿宋_GBK" w:cs="方正仿宋_GBK"/>
                <w:color w:val="auto"/>
                <w:kern w:val="2"/>
                <w:sz w:val="21"/>
                <w:szCs w:val="21"/>
                <w:lang w:val="en-US" w:bidi="ar-SA"/>
              </w:rPr>
              <w:t xml:space="preserve">8支持16-22G穿刺针的手术应用。                                                                       </w:t>
            </w:r>
            <w:r>
              <w:rPr>
                <w:rFonts w:hint="eastAsia" w:ascii="方正仿宋_GBK" w:hAnsi="方正仿宋_GBK" w:eastAsia="方正仿宋_GBK" w:cs="方正仿宋_GBK"/>
                <w:color w:val="auto"/>
                <w:kern w:val="2"/>
                <w:sz w:val="21"/>
                <w:szCs w:val="21"/>
                <w:lang w:val="en-US" w:eastAsia="zh-CN" w:bidi="ar-SA"/>
              </w:rPr>
              <w:t>4.</w:t>
            </w:r>
            <w:r>
              <w:rPr>
                <w:rFonts w:hint="eastAsia" w:ascii="方正仿宋_GBK" w:hAnsi="方正仿宋_GBK" w:eastAsia="方正仿宋_GBK" w:cs="方正仿宋_GBK"/>
                <w:b/>
                <w:bCs/>
                <w:color w:val="auto"/>
                <w:kern w:val="2"/>
                <w:sz w:val="21"/>
                <w:szCs w:val="21"/>
                <w:lang w:val="en-US" w:bidi="ar-SA"/>
              </w:rPr>
              <w:t>一次性使用活检针及附件：</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b w:val="0"/>
                <w:bCs w:val="0"/>
                <w:color w:val="auto"/>
                <w:kern w:val="2"/>
                <w:sz w:val="21"/>
                <w:szCs w:val="21"/>
                <w:lang w:val="en-US" w:eastAsia="zh-CN" w:bidi="ar-SA"/>
              </w:rPr>
              <w:t>4.</w:t>
            </w:r>
            <w:r>
              <w:rPr>
                <w:rFonts w:hint="eastAsia" w:ascii="方正仿宋_GBK" w:hAnsi="方正仿宋_GBK" w:eastAsia="方正仿宋_GBK" w:cs="方正仿宋_GBK"/>
                <w:b w:val="0"/>
                <w:bCs w:val="0"/>
                <w:color w:val="auto"/>
                <w:kern w:val="2"/>
                <w:sz w:val="21"/>
                <w:szCs w:val="21"/>
                <w:lang w:val="en-US" w:bidi="ar-SA"/>
              </w:rPr>
              <w:t>1</w:t>
            </w:r>
            <w:r>
              <w:rPr>
                <w:rFonts w:hint="eastAsia" w:ascii="方正仿宋_GBK" w:hAnsi="方正仿宋_GBK" w:eastAsia="方正仿宋_GBK" w:cs="方正仿宋_GBK"/>
                <w:color w:val="auto"/>
                <w:kern w:val="2"/>
                <w:sz w:val="21"/>
                <w:szCs w:val="21"/>
                <w:lang w:val="en-US" w:bidi="ar-SA"/>
              </w:rPr>
              <w:t>穿刺深度22mm，针长8-25cm可选，针粗14-20G可选；</w:t>
            </w:r>
            <w:r>
              <w:rPr>
                <w:rFonts w:hint="eastAsia" w:ascii="方正仿宋_GBK" w:hAnsi="方正仿宋_GBK" w:eastAsia="方正仿宋_GBK" w:cs="方正仿宋_GBK"/>
                <w:color w:val="auto"/>
                <w:kern w:val="2"/>
                <w:sz w:val="21"/>
                <w:szCs w:val="21"/>
                <w:lang w:val="en-US" w:eastAsia="zh-CN" w:bidi="ar-SA"/>
              </w:rPr>
              <w:t>4.</w:t>
            </w:r>
            <w:r>
              <w:rPr>
                <w:rFonts w:hint="eastAsia" w:ascii="方正仿宋_GBK" w:hAnsi="方正仿宋_GBK" w:eastAsia="方正仿宋_GBK" w:cs="方正仿宋_GBK"/>
                <w:color w:val="auto"/>
                <w:kern w:val="2"/>
                <w:sz w:val="21"/>
                <w:szCs w:val="21"/>
                <w:lang w:val="en-US" w:bidi="ar-SA"/>
              </w:rPr>
              <w:t>2带安全锁，在进针过程中防止意外击发，提升安全性；</w:t>
            </w:r>
            <w:r>
              <w:rPr>
                <w:rFonts w:hint="eastAsia" w:ascii="方正仿宋_GBK" w:hAnsi="方正仿宋_GBK" w:eastAsia="方正仿宋_GBK" w:cs="方正仿宋_GBK"/>
                <w:color w:val="auto"/>
                <w:kern w:val="2"/>
                <w:sz w:val="21"/>
                <w:szCs w:val="21"/>
                <w:lang w:val="en-US" w:eastAsia="zh-CN" w:bidi="ar-SA"/>
              </w:rPr>
              <w:t>4.</w:t>
            </w:r>
            <w:r>
              <w:rPr>
                <w:rFonts w:hint="eastAsia" w:ascii="方正仿宋_GBK" w:hAnsi="方正仿宋_GBK" w:eastAsia="方正仿宋_GBK" w:cs="方正仿宋_GBK"/>
                <w:color w:val="auto"/>
                <w:kern w:val="2"/>
                <w:sz w:val="21"/>
                <w:szCs w:val="21"/>
                <w:lang w:val="en-US" w:bidi="ar-SA"/>
              </w:rPr>
              <w:t>3针尖显影增强，多模式加载方式，双激发按键选择；</w:t>
            </w:r>
          </w:p>
          <w:p>
            <w:pPr>
              <w:pStyle w:val="10"/>
              <w:numPr>
                <w:ilvl w:val="0"/>
                <w:numId w:val="0"/>
              </w:numPr>
              <w:spacing w:line="240" w:lineRule="auto"/>
              <w:ind w:leftChars="0"/>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4.</w:t>
            </w:r>
            <w:r>
              <w:rPr>
                <w:rFonts w:hint="eastAsia" w:ascii="方正仿宋_GBK" w:hAnsi="方正仿宋_GBK" w:eastAsia="方正仿宋_GBK" w:cs="方正仿宋_GBK"/>
                <w:color w:val="auto"/>
                <w:kern w:val="2"/>
                <w:sz w:val="21"/>
                <w:szCs w:val="21"/>
                <w:lang w:val="en-US" w:bidi="ar-SA"/>
              </w:rPr>
              <w:t xml:space="preserve">4可应用于乳腺、淋巴结、肺部、肝脏、肾脏等器官进行穿刺。                                                                                                 </w:t>
            </w:r>
            <w:r>
              <w:rPr>
                <w:rFonts w:hint="eastAsia" w:ascii="方正仿宋_GBK" w:hAnsi="方正仿宋_GBK" w:eastAsia="方正仿宋_GBK" w:cs="方正仿宋_GBK"/>
                <w:color w:val="auto"/>
                <w:kern w:val="2"/>
                <w:sz w:val="21"/>
                <w:szCs w:val="21"/>
                <w:lang w:val="en-US" w:eastAsia="zh-CN" w:bidi="ar-SA"/>
              </w:rPr>
              <w:t>5.</w:t>
            </w:r>
            <w:r>
              <w:rPr>
                <w:rFonts w:hint="eastAsia" w:ascii="方正仿宋_GBK" w:hAnsi="方正仿宋_GBK" w:eastAsia="方正仿宋_GBK" w:cs="方正仿宋_GBK"/>
                <w:b/>
                <w:bCs/>
                <w:color w:val="auto"/>
                <w:kern w:val="2"/>
                <w:sz w:val="21"/>
                <w:szCs w:val="21"/>
                <w:lang w:val="en-US" w:bidi="ar-SA"/>
              </w:rPr>
              <w:t>一次性使用穿刺针及附件：</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b w:val="0"/>
                <w:bCs w:val="0"/>
                <w:color w:val="auto"/>
                <w:kern w:val="2"/>
                <w:sz w:val="21"/>
                <w:szCs w:val="21"/>
                <w:lang w:val="en-US" w:eastAsia="zh-CN" w:bidi="ar-SA"/>
              </w:rPr>
              <w:t>5.</w:t>
            </w:r>
            <w:r>
              <w:rPr>
                <w:rFonts w:hint="eastAsia" w:ascii="方正仿宋_GBK" w:hAnsi="方正仿宋_GBK" w:eastAsia="方正仿宋_GBK" w:cs="方正仿宋_GBK"/>
                <w:b w:val="0"/>
                <w:bCs w:val="0"/>
                <w:color w:val="auto"/>
                <w:kern w:val="2"/>
                <w:sz w:val="21"/>
                <w:szCs w:val="21"/>
                <w:lang w:val="en-US" w:bidi="ar-SA"/>
              </w:rPr>
              <w:t>1</w:t>
            </w:r>
            <w:r>
              <w:rPr>
                <w:rFonts w:hint="eastAsia" w:ascii="方正仿宋_GBK" w:hAnsi="方正仿宋_GBK" w:eastAsia="方正仿宋_GBK" w:cs="方正仿宋_GBK"/>
                <w:color w:val="auto"/>
                <w:kern w:val="2"/>
                <w:sz w:val="21"/>
                <w:szCs w:val="21"/>
                <w:lang w:val="en-US" w:bidi="ar-SA"/>
              </w:rPr>
              <w:t>用于腔内，妇科囊肿、前列腺穿刺、生殖取卵等，适用于全科室；无穿刺针，其余物料齐全；</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5.</w:t>
            </w:r>
            <w:r>
              <w:rPr>
                <w:rFonts w:hint="eastAsia" w:ascii="方正仿宋_GBK" w:hAnsi="方正仿宋_GBK" w:eastAsia="方正仿宋_GBK" w:cs="方正仿宋_GBK"/>
                <w:color w:val="auto"/>
                <w:kern w:val="2"/>
                <w:sz w:val="21"/>
                <w:szCs w:val="21"/>
                <w:lang w:val="en-US" w:bidi="ar-SA"/>
              </w:rPr>
              <w:t>2灭菌要求：辐照灭菌，一次性使用；</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eastAsia="zh-CN" w:bidi="ar-SA"/>
              </w:rPr>
            </w:pPr>
            <w:r>
              <w:rPr>
                <w:rFonts w:hint="eastAsia" w:ascii="方正仿宋_GBK" w:hAnsi="方正仿宋_GBK" w:eastAsia="方正仿宋_GBK" w:cs="方正仿宋_GBK"/>
                <w:color w:val="auto"/>
                <w:kern w:val="2"/>
                <w:sz w:val="21"/>
                <w:szCs w:val="21"/>
                <w:lang w:val="en-US" w:eastAsia="zh-CN" w:bidi="ar-SA"/>
              </w:rPr>
              <w:t>5.</w:t>
            </w:r>
            <w:r>
              <w:rPr>
                <w:rFonts w:hint="eastAsia" w:ascii="方正仿宋_GBK" w:hAnsi="方正仿宋_GBK" w:eastAsia="方正仿宋_GBK" w:cs="方正仿宋_GBK"/>
                <w:color w:val="auto"/>
                <w:kern w:val="2"/>
                <w:sz w:val="21"/>
                <w:szCs w:val="21"/>
                <w:lang w:val="en-US" w:bidi="ar-SA"/>
              </w:rPr>
              <w:t xml:space="preserve">3可选配针导引器，辅助开展介入手术 </w:t>
            </w:r>
            <w:r>
              <w:rPr>
                <w:rFonts w:hint="eastAsia" w:ascii="方正仿宋_GBK" w:hAnsi="方正仿宋_GBK" w:eastAsia="方正仿宋_GBK" w:cs="方正仿宋_GBK"/>
                <w:color w:val="auto"/>
                <w:kern w:val="2"/>
                <w:sz w:val="21"/>
                <w:szCs w:val="21"/>
                <w:lang w:val="en-US" w:eastAsia="zh-CN" w:bidi="ar-SA"/>
              </w:rPr>
              <w:t>；</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5.</w:t>
            </w:r>
            <w:r>
              <w:rPr>
                <w:rFonts w:hint="eastAsia" w:ascii="方正仿宋_GBK" w:hAnsi="方正仿宋_GBK" w:eastAsia="方正仿宋_GBK" w:cs="方正仿宋_GBK"/>
                <w:color w:val="auto"/>
                <w:kern w:val="2"/>
                <w:sz w:val="21"/>
                <w:szCs w:val="21"/>
                <w:lang w:val="en-US" w:bidi="ar-SA"/>
              </w:rPr>
              <w:t>4.敞口喇叭形，对准进针可视化；</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5.</w:t>
            </w:r>
            <w:r>
              <w:rPr>
                <w:rFonts w:hint="eastAsia" w:ascii="方正仿宋_GBK" w:hAnsi="方正仿宋_GBK" w:eastAsia="方正仿宋_GBK" w:cs="方正仿宋_GBK"/>
                <w:color w:val="auto"/>
                <w:kern w:val="2"/>
                <w:sz w:val="21"/>
                <w:szCs w:val="21"/>
                <w:lang w:val="en-US" w:bidi="ar-SA"/>
              </w:rPr>
              <w:t>5蝴蝶状手持位，拆装更便捷；</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5.</w:t>
            </w:r>
            <w:r>
              <w:rPr>
                <w:rFonts w:hint="eastAsia" w:ascii="方正仿宋_GBK" w:hAnsi="方正仿宋_GBK" w:eastAsia="方正仿宋_GBK" w:cs="方正仿宋_GBK"/>
                <w:color w:val="auto"/>
                <w:kern w:val="2"/>
                <w:sz w:val="21"/>
                <w:szCs w:val="21"/>
                <w:lang w:val="en-US" w:bidi="ar-SA"/>
              </w:rPr>
              <w:t>6全金属的引导通道，针尖无刮起塑胶碎屑的隐患；</w:t>
            </w:r>
          </w:p>
          <w:p>
            <w:pPr>
              <w:pStyle w:val="10"/>
              <w:numPr>
                <w:ilvl w:val="0"/>
                <w:numId w:val="0"/>
              </w:numPr>
              <w:spacing w:line="240" w:lineRule="auto"/>
              <w:ind w:leftChars="0"/>
              <w:rPr>
                <w:rFonts w:hint="eastAsia" w:ascii="方正仿宋_GBK" w:hAnsi="方正仿宋_GBK" w:eastAsia="方正仿宋_GBK" w:cs="方正仿宋_GBK"/>
                <w:b/>
                <w:bCs/>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5.</w:t>
            </w:r>
            <w:r>
              <w:rPr>
                <w:rFonts w:hint="eastAsia" w:ascii="方正仿宋_GBK" w:hAnsi="方正仿宋_GBK" w:eastAsia="方正仿宋_GBK" w:cs="方正仿宋_GBK"/>
                <w:color w:val="auto"/>
                <w:kern w:val="2"/>
                <w:sz w:val="21"/>
                <w:szCs w:val="21"/>
                <w:lang w:val="en-US" w:bidi="ar-SA"/>
              </w:rPr>
              <w:t>7支持16-22G穿刺针的手术应用；</w:t>
            </w:r>
            <w:r>
              <w:rPr>
                <w:rFonts w:hint="eastAsia" w:ascii="方正仿宋_GBK" w:hAnsi="方正仿宋_GBK" w:eastAsia="方正仿宋_GBK" w:cs="方正仿宋_GBK"/>
                <w:color w:val="auto"/>
                <w:kern w:val="2"/>
                <w:sz w:val="21"/>
                <w:szCs w:val="21"/>
                <w:lang w:val="en-US" w:eastAsia="zh-CN" w:bidi="ar-SA"/>
              </w:rPr>
              <w:t>。</w:t>
            </w:r>
            <w:r>
              <w:rPr>
                <w:rFonts w:hint="eastAsia" w:ascii="方正仿宋_GBK" w:hAnsi="方正仿宋_GBK" w:eastAsia="方正仿宋_GBK" w:cs="方正仿宋_GBK"/>
                <w:color w:val="auto"/>
                <w:kern w:val="2"/>
                <w:sz w:val="21"/>
                <w:szCs w:val="21"/>
                <w:lang w:val="en-US" w:bidi="ar-SA"/>
              </w:rPr>
              <w:t xml:space="preserve">                                                                                                </w:t>
            </w:r>
            <w:r>
              <w:rPr>
                <w:rFonts w:hint="eastAsia" w:ascii="方正仿宋_GBK" w:hAnsi="方正仿宋_GBK" w:eastAsia="方正仿宋_GBK" w:cs="方正仿宋_GBK"/>
                <w:color w:val="auto"/>
                <w:kern w:val="2"/>
                <w:sz w:val="21"/>
                <w:szCs w:val="21"/>
                <w:lang w:val="en-US" w:eastAsia="zh-CN" w:bidi="ar-SA"/>
              </w:rPr>
              <w:t>6.</w:t>
            </w:r>
            <w:r>
              <w:rPr>
                <w:rFonts w:hint="eastAsia" w:ascii="方正仿宋_GBK" w:hAnsi="方正仿宋_GBK" w:eastAsia="方正仿宋_GBK" w:cs="方正仿宋_GBK"/>
                <w:b/>
                <w:bCs/>
                <w:color w:val="auto"/>
                <w:kern w:val="2"/>
                <w:sz w:val="21"/>
                <w:szCs w:val="21"/>
                <w:lang w:val="en-US" w:bidi="ar-SA"/>
              </w:rPr>
              <w:t>一次性使用吸引活检针及附件：</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b w:val="0"/>
                <w:bCs w:val="0"/>
                <w:color w:val="auto"/>
                <w:kern w:val="2"/>
                <w:sz w:val="21"/>
                <w:szCs w:val="21"/>
                <w:lang w:val="en-US" w:eastAsia="zh-CN" w:bidi="ar-SA"/>
              </w:rPr>
              <w:t>6.</w:t>
            </w:r>
            <w:r>
              <w:rPr>
                <w:rFonts w:hint="eastAsia" w:ascii="方正仿宋_GBK" w:hAnsi="方正仿宋_GBK" w:eastAsia="方正仿宋_GBK" w:cs="方正仿宋_GBK"/>
                <w:b w:val="0"/>
                <w:bCs w:val="0"/>
                <w:color w:val="auto"/>
                <w:kern w:val="2"/>
                <w:sz w:val="21"/>
                <w:szCs w:val="21"/>
                <w:lang w:val="en-US" w:bidi="ar-SA"/>
              </w:rPr>
              <w:t>1</w:t>
            </w:r>
            <w:r>
              <w:rPr>
                <w:rFonts w:hint="eastAsia" w:ascii="方正仿宋_GBK" w:hAnsi="方正仿宋_GBK" w:eastAsia="方正仿宋_GBK" w:cs="方正仿宋_GBK"/>
                <w:color w:val="auto"/>
                <w:kern w:val="2"/>
                <w:sz w:val="21"/>
                <w:szCs w:val="21"/>
                <w:lang w:val="en-US" w:bidi="ar-SA"/>
              </w:rPr>
              <w:t>双切面针尖设计，更锋利，减少穿刺并发症；</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6.</w:t>
            </w:r>
            <w:r>
              <w:rPr>
                <w:rFonts w:hint="eastAsia" w:ascii="方正仿宋_GBK" w:hAnsi="方正仿宋_GBK" w:eastAsia="方正仿宋_GBK" w:cs="方正仿宋_GBK"/>
                <w:color w:val="auto"/>
                <w:kern w:val="2"/>
                <w:sz w:val="21"/>
                <w:szCs w:val="21"/>
                <w:lang w:val="en-US" w:bidi="ar-SA"/>
              </w:rPr>
              <w:t>2针管内壁光滑，便于获取更多细胞组织；</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6.</w:t>
            </w:r>
            <w:r>
              <w:rPr>
                <w:rFonts w:hint="eastAsia" w:ascii="方正仿宋_GBK" w:hAnsi="方正仿宋_GBK" w:eastAsia="方正仿宋_GBK" w:cs="方正仿宋_GBK"/>
                <w:color w:val="auto"/>
                <w:kern w:val="2"/>
                <w:sz w:val="21"/>
                <w:szCs w:val="21"/>
                <w:lang w:val="en-US" w:bidi="ar-SA"/>
              </w:rPr>
              <w:t>3针杆硬度、韧性适中，便于多点、多角度穿刺，提高取样成功率；</w:t>
            </w:r>
          </w:p>
          <w:p>
            <w:pPr>
              <w:pStyle w:val="10"/>
              <w:numPr>
                <w:ilvl w:val="0"/>
                <w:numId w:val="0"/>
              </w:numPr>
              <w:spacing w:line="240" w:lineRule="auto"/>
              <w:ind w:left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eastAsia="zh-CN" w:bidi="ar-SA"/>
              </w:rPr>
              <w:t>6.</w:t>
            </w:r>
            <w:r>
              <w:rPr>
                <w:rFonts w:hint="eastAsia" w:ascii="方正仿宋_GBK" w:hAnsi="方正仿宋_GBK" w:eastAsia="方正仿宋_GBK" w:cs="方正仿宋_GBK"/>
                <w:color w:val="auto"/>
                <w:kern w:val="2"/>
                <w:sz w:val="21"/>
                <w:szCs w:val="21"/>
                <w:lang w:val="en-US" w:bidi="ar-SA"/>
              </w:rPr>
              <w:t>4带有无菌耦合剂和无菌保护套，可提高手术准备效率；</w:t>
            </w:r>
            <w:r>
              <w:rPr>
                <w:rFonts w:hint="eastAsia" w:ascii="方正仿宋_GBK" w:hAnsi="方正仿宋_GBK" w:eastAsia="方正仿宋_GBK" w:cs="方正仿宋_GBK"/>
                <w:color w:val="auto"/>
                <w:kern w:val="2"/>
                <w:sz w:val="21"/>
                <w:szCs w:val="21"/>
                <w:lang w:val="en-US" w:eastAsia="zh-CN" w:bidi="ar-SA"/>
              </w:rPr>
              <w:t>6.</w:t>
            </w:r>
            <w:r>
              <w:rPr>
                <w:rFonts w:hint="eastAsia" w:ascii="方正仿宋_GBK" w:hAnsi="方正仿宋_GBK" w:eastAsia="方正仿宋_GBK" w:cs="方正仿宋_GBK"/>
                <w:color w:val="auto"/>
                <w:kern w:val="2"/>
                <w:sz w:val="21"/>
                <w:szCs w:val="21"/>
                <w:lang w:val="en-US" w:bidi="ar-SA"/>
              </w:rPr>
              <w:t>5可应用于甲状腺、淋巴结等部位穿刺，获取细胞用于病理分析。</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 w:type="dxa"/>
            <w:vAlign w:val="center"/>
          </w:tcPr>
          <w:p>
            <w:pPr>
              <w:spacing w:line="600" w:lineRule="exact"/>
              <w:jc w:val="center"/>
              <w:rPr>
                <w:rFonts w:hint="eastAsia" w:ascii="方正仿宋_GBK" w:hAnsi="方正仿宋_GBK" w:eastAsia="方正仿宋_GBK" w:cs="方正仿宋_GBK"/>
                <w:b/>
                <w:bCs/>
                <w:color w:val="auto"/>
                <w:sz w:val="21"/>
                <w:szCs w:val="21"/>
                <w:lang w:val="en-US" w:eastAsia="zh-CN"/>
              </w:rPr>
            </w:pPr>
            <w:r>
              <w:rPr>
                <w:rFonts w:hint="eastAsia" w:ascii="方正仿宋_GBK" w:hAnsi="方正仿宋_GBK" w:eastAsia="方正仿宋_GBK" w:cs="方正仿宋_GBK"/>
                <w:b/>
                <w:bCs/>
                <w:color w:val="auto"/>
                <w:sz w:val="21"/>
                <w:szCs w:val="21"/>
                <w:lang w:val="en-US" w:eastAsia="zh-CN"/>
              </w:rPr>
              <w:t>3</w:t>
            </w:r>
          </w:p>
        </w:tc>
        <w:tc>
          <w:tcPr>
            <w:tcW w:w="2645" w:type="dxa"/>
            <w:vAlign w:val="center"/>
          </w:tcPr>
          <w:p>
            <w:pPr>
              <w:spacing w:line="600" w:lineRule="exact"/>
              <w:jc w:val="center"/>
              <w:rPr>
                <w:rFonts w:hint="eastAsia" w:ascii="方正仿宋_GBK" w:hAnsi="方正仿宋_GBK" w:eastAsia="方正仿宋_GBK" w:cs="方正仿宋_GBK"/>
                <w:b/>
                <w:bCs/>
                <w:color w:val="auto"/>
                <w:sz w:val="21"/>
                <w:szCs w:val="21"/>
              </w:rPr>
            </w:pPr>
            <w:r>
              <w:rPr>
                <w:rFonts w:hint="eastAsia" w:ascii="方正仿宋_GBK" w:hAnsi="方正仿宋_GBK" w:eastAsia="方正仿宋_GBK" w:cs="方正仿宋_GBK"/>
                <w:b/>
                <w:bCs/>
                <w:color w:val="auto"/>
                <w:sz w:val="21"/>
                <w:szCs w:val="21"/>
              </w:rPr>
              <w:t>外科手术用防粘连冲洗液</w:t>
            </w:r>
          </w:p>
        </w:tc>
        <w:tc>
          <w:tcPr>
            <w:tcW w:w="5514" w:type="dxa"/>
          </w:tcPr>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1.该产品用于修复早期可以形成生物屏障，减轻炎症反应，同时可以抑制转化生长因子β1的表达，从而减少粘连发生。同时可以促进诱导形成新的间皮细胞，促进伤口早期修复愈合。</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2.具有良好表面活性的羧甲基壳聚糖为主要成分，可有效清除血液及组织碎片残留。</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3.具有广谱抗菌作用，可抑菌杀菌，降低术后感染几率，促进患者恢复。还能对一些肿瘤细胞起到抑制作用，肿瘤手术使用能起到预防肿瘤细胞种植转移的效果。</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4.可为创伤部位提供胶体渗透压和离子渗透压，有效减少术中、术后水肿。</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5.羧甲基壳聚糖具有较强的阳离子效应，可促进创伤部位微血管收缩，减少渗血渗液。</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6.属于CFDA批准的三类防粘连冲洗液，适用于各类外科手术，可体内完全降解吸收，能起到大范围预防粘连的作用。</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7.有医保，符合省内现有收费政策。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1" w:hRule="atLeast"/>
        </w:trPr>
        <w:tc>
          <w:tcPr>
            <w:tcW w:w="889" w:type="dxa"/>
            <w:vAlign w:val="center"/>
          </w:tcPr>
          <w:p>
            <w:pPr>
              <w:spacing w:line="600" w:lineRule="exact"/>
              <w:jc w:val="center"/>
              <w:rPr>
                <w:rFonts w:hint="eastAsia" w:ascii="方正仿宋_GBK" w:hAnsi="方正仿宋_GBK" w:eastAsia="方正仿宋_GBK" w:cs="方正仿宋_GBK"/>
                <w:b/>
                <w:bCs/>
                <w:color w:val="auto"/>
                <w:sz w:val="21"/>
                <w:szCs w:val="21"/>
                <w:lang w:val="en-US" w:eastAsia="zh-CN"/>
              </w:rPr>
            </w:pPr>
            <w:r>
              <w:rPr>
                <w:rFonts w:hint="eastAsia" w:ascii="方正仿宋_GBK" w:hAnsi="方正仿宋_GBK" w:eastAsia="方正仿宋_GBK" w:cs="方正仿宋_GBK"/>
                <w:b/>
                <w:bCs/>
                <w:color w:val="auto"/>
                <w:sz w:val="21"/>
                <w:szCs w:val="21"/>
                <w:lang w:val="en-US" w:eastAsia="zh-CN"/>
              </w:rPr>
              <w:t>4</w:t>
            </w:r>
          </w:p>
        </w:tc>
        <w:tc>
          <w:tcPr>
            <w:tcW w:w="2645" w:type="dxa"/>
            <w:vAlign w:val="center"/>
          </w:tcPr>
          <w:p>
            <w:pPr>
              <w:spacing w:line="600" w:lineRule="exact"/>
              <w:jc w:val="center"/>
              <w:rPr>
                <w:rFonts w:hint="eastAsia" w:ascii="方正仿宋_GBK" w:hAnsi="方正仿宋_GBK" w:eastAsia="方正仿宋_GBK" w:cs="方正仿宋_GBK"/>
                <w:b/>
                <w:bCs/>
                <w:color w:val="auto"/>
                <w:sz w:val="21"/>
                <w:szCs w:val="21"/>
              </w:rPr>
            </w:pPr>
            <w:r>
              <w:rPr>
                <w:rFonts w:hint="eastAsia" w:ascii="方正仿宋_GBK" w:hAnsi="方正仿宋_GBK" w:eastAsia="方正仿宋_GBK" w:cs="方正仿宋_GBK"/>
                <w:b/>
                <w:bCs/>
                <w:color w:val="auto"/>
                <w:sz w:val="21"/>
                <w:szCs w:val="21"/>
              </w:rPr>
              <w:t>检验科甲型/乙型流行性感冒病毒抗原检测试剂盒（胶体金法）</w:t>
            </w:r>
          </w:p>
        </w:tc>
        <w:tc>
          <w:tcPr>
            <w:tcW w:w="5514" w:type="dxa"/>
          </w:tcPr>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 xml:space="preserve">1.储存条件及有效期：2-30℃干燥处保存时，有效期≥24个月； </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 xml:space="preserve">2.判定时间：15min-20min内可以进行结果判定，20min后判定无效； </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3.标本加样量：≤100ul；</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4.用国家参考品或者经国家参考品标化的企业参考品检测：各项指标符合国家标准品要求。阳性符合率：检测10份阳性参考品PC01-PC10，要求PC01-PC04 检测结果均为乙型流感病毒抗原阳性、甲型流感病毒抗原阴性；要求PC05-PC10检测结果均为甲型流感病毒抗原阳性、乙型流感病毒抗原阴性；符合率（+/+）为10/10，符合率100%。阴性符合率：检测6 份阴性参考品NC01-NC06，要求甲型流感病毒抗原和乙型流感病毒抗原检测结果均为阴性，符合率（-/-）为6/6，符合率100%。</w:t>
            </w:r>
          </w:p>
          <w:p>
            <w:pPr>
              <w:pStyle w:val="10"/>
              <w:spacing w:line="240" w:lineRule="auto"/>
              <w:ind w:firstLine="0" w:firstLineChars="0"/>
              <w:rPr>
                <w:rFonts w:hint="eastAsia" w:ascii="方正仿宋_GBK" w:hAnsi="方正仿宋_GBK" w:eastAsia="方正仿宋_GBK" w:cs="方正仿宋_GBK"/>
                <w:color w:val="auto"/>
                <w:kern w:val="2"/>
                <w:sz w:val="21"/>
                <w:szCs w:val="21"/>
                <w:lang w:val="en-US" w:bidi="ar-SA"/>
              </w:rPr>
            </w:pPr>
            <w:r>
              <w:rPr>
                <w:rFonts w:hint="eastAsia" w:ascii="方正仿宋_GBK" w:hAnsi="方正仿宋_GBK" w:eastAsia="方正仿宋_GBK" w:cs="方正仿宋_GBK"/>
                <w:color w:val="auto"/>
                <w:kern w:val="2"/>
                <w:sz w:val="21"/>
                <w:szCs w:val="21"/>
                <w:lang w:val="en-US" w:bidi="ar-SA"/>
              </w:rPr>
              <w:t>5.重复性：重复性参考品CV1 和CV2 各重复测定10 次，要求CV1 测定结果均为甲型流感病毒抗原阳性、乙型流感病毒抗原阴性，CV2 测定结果均为乙型流感病毒抗原阳性、甲型流感病毒抗原阴性反应结果一致，显色度均一无差别。</w:t>
            </w:r>
          </w:p>
        </w:tc>
      </w:tr>
    </w:tbl>
    <w:p>
      <w:pPr>
        <w:tabs>
          <w:tab w:val="left" w:pos="726"/>
        </w:tabs>
        <w:jc w:val="left"/>
        <w:rPr>
          <w:rFonts w:hint="eastAsia" w:ascii="方正仿宋_GBK" w:hAnsi="方正仿宋_GBK" w:eastAsia="方正仿宋_GBK" w:cs="方正仿宋_GBK"/>
          <w:color w:val="auto"/>
          <w:sz w:val="21"/>
          <w:szCs w:val="21"/>
        </w:rPr>
        <w:sectPr>
          <w:pgSz w:w="11906" w:h="16838"/>
          <w:pgMar w:top="2098" w:right="1474" w:bottom="1984" w:left="1587" w:header="851" w:footer="992" w:gutter="0"/>
          <w:cols w:space="0" w:num="1"/>
          <w:docGrid w:type="lines" w:linePitch="312" w:charSpace="0"/>
        </w:sectPr>
      </w:pPr>
    </w:p>
    <w:p>
      <w:pPr>
        <w:spacing w:line="600" w:lineRule="exact"/>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附件</w:t>
      </w:r>
      <w:r>
        <w:rPr>
          <w:rFonts w:hint="eastAsia" w:ascii="Times New Roman" w:hAnsi="Times New Roman" w:eastAsia="方正仿宋_GBK" w:cs="Times New Roman"/>
          <w:color w:val="auto"/>
          <w:sz w:val="32"/>
          <w:szCs w:val="32"/>
          <w:lang w:val="en-US" w:eastAsia="zh-CN"/>
        </w:rPr>
        <w:t>2</w:t>
      </w:r>
    </w:p>
    <w:p>
      <w:pPr>
        <w:rPr>
          <w:rFonts w:ascii="方正仿宋简体" w:hAnsi="宋体" w:eastAsia="方正仿宋简体"/>
          <w:color w:val="auto"/>
        </w:rPr>
      </w:pPr>
    </w:p>
    <w:p>
      <w:pPr>
        <w:spacing w:line="700" w:lineRule="exact"/>
        <w:jc w:val="center"/>
        <w:rPr>
          <w:rFonts w:hint="eastAsia" w:ascii="方正小标宋_GBK" w:hAnsi="方正小标宋_GBK" w:eastAsia="方正小标宋_GBK" w:cs="方正小标宋_GBK"/>
          <w:b/>
          <w:bCs/>
          <w:color w:val="auto"/>
          <w:sz w:val="32"/>
          <w:szCs w:val="32"/>
          <w:lang w:val="en-US" w:eastAsia="zh-CN"/>
        </w:rPr>
      </w:pPr>
      <w:r>
        <w:rPr>
          <w:rFonts w:hint="eastAsia" w:ascii="方正小标宋_GBK" w:hAnsi="方正小标宋_GBK" w:eastAsia="方正小标宋_GBK" w:cs="方正小标宋_GBK"/>
          <w:b/>
          <w:bCs/>
          <w:color w:val="auto"/>
          <w:sz w:val="32"/>
          <w:szCs w:val="32"/>
          <w:lang w:val="en-US" w:eastAsia="zh-CN"/>
        </w:rPr>
        <w:t xml:space="preserve"> 玉溪市中医医院采集卡及检验科等科室耗材采购项目</w:t>
      </w:r>
    </w:p>
    <w:p>
      <w:pPr>
        <w:spacing w:line="700" w:lineRule="exact"/>
        <w:jc w:val="center"/>
        <w:rPr>
          <w:rFonts w:hint="eastAsia" w:ascii="方正小标宋_GBK" w:hAnsi="方正小标宋_GBK" w:eastAsia="方正小标宋_GBK" w:cs="方正小标宋_GBK"/>
          <w:b/>
          <w:bCs/>
          <w:color w:val="auto"/>
          <w:sz w:val="32"/>
          <w:szCs w:val="32"/>
          <w:lang w:val="en-US" w:eastAsia="zh-CN"/>
        </w:rPr>
      </w:pPr>
      <w:r>
        <w:rPr>
          <w:rFonts w:hint="eastAsia" w:ascii="方正小标宋_GBK" w:hAnsi="方正小标宋_GBK" w:eastAsia="方正小标宋_GBK" w:cs="方正小标宋_GBK"/>
          <w:b/>
          <w:bCs/>
          <w:color w:val="auto"/>
          <w:sz w:val="32"/>
          <w:szCs w:val="32"/>
          <w:u w:val="single"/>
          <w:lang w:val="en-US" w:eastAsia="zh-CN"/>
        </w:rPr>
        <w:t xml:space="preserve">    </w:t>
      </w:r>
      <w:r>
        <w:rPr>
          <w:rFonts w:hint="eastAsia" w:ascii="方正小标宋_GBK" w:hAnsi="方正小标宋_GBK" w:eastAsia="方正小标宋_GBK" w:cs="方正小标宋_GBK"/>
          <w:b/>
          <w:bCs/>
          <w:color w:val="auto"/>
          <w:sz w:val="32"/>
          <w:szCs w:val="32"/>
          <w:lang w:val="en-US" w:eastAsia="zh-CN"/>
        </w:rPr>
        <w:t>包</w:t>
      </w:r>
    </w:p>
    <w:p>
      <w:pPr>
        <w:spacing w:line="600" w:lineRule="exact"/>
        <w:ind w:firstLine="640" w:firstLineChars="200"/>
        <w:jc w:val="center"/>
        <w:rPr>
          <w:rFonts w:ascii="Times New Roman" w:hAnsi="Times New Roman" w:eastAsia="方正仿宋_GBK" w:cs="Times New Roman"/>
          <w:color w:val="auto"/>
          <w:kern w:val="0"/>
          <w:sz w:val="32"/>
          <w:szCs w:val="32"/>
        </w:rPr>
      </w:pPr>
      <w:r>
        <w:rPr>
          <w:rFonts w:hint="eastAsia" w:ascii="Times New Roman" w:hAnsi="Times New Roman" w:eastAsia="方正仿宋_GBK" w:cs="Times New Roman"/>
          <w:color w:val="auto"/>
          <w:kern w:val="0"/>
          <w:sz w:val="32"/>
          <w:szCs w:val="32"/>
        </w:rPr>
        <w:t>项目编号：</w:t>
      </w:r>
      <w:r>
        <w:rPr>
          <w:rFonts w:ascii="Times New Roman" w:hAnsi="Times New Roman" w:eastAsia="方正仿宋_GBK" w:cs="Times New Roman"/>
          <w:color w:val="auto"/>
          <w:kern w:val="0"/>
          <w:sz w:val="32"/>
          <w:szCs w:val="32"/>
        </w:rPr>
        <w:t>玉中医采HCCG202311</w:t>
      </w:r>
      <w:r>
        <w:rPr>
          <w:rFonts w:hint="eastAsia" w:ascii="Times New Roman" w:hAnsi="Times New Roman" w:eastAsia="方正仿宋_GBK" w:cs="Times New Roman"/>
          <w:color w:val="auto"/>
          <w:kern w:val="0"/>
          <w:sz w:val="32"/>
          <w:szCs w:val="32"/>
        </w:rPr>
        <w:t>1</w:t>
      </w:r>
      <w:r>
        <w:rPr>
          <w:rFonts w:hint="eastAsia" w:ascii="Times New Roman" w:hAnsi="Times New Roman" w:eastAsia="方正仿宋_GBK" w:cs="Times New Roman"/>
          <w:color w:val="auto"/>
          <w:kern w:val="0"/>
          <w:sz w:val="32"/>
          <w:szCs w:val="32"/>
          <w:lang w:val="en-US" w:eastAsia="zh-CN"/>
        </w:rPr>
        <w:t>7</w:t>
      </w:r>
      <w:r>
        <w:rPr>
          <w:rFonts w:ascii="Times New Roman" w:hAnsi="Times New Roman" w:eastAsia="方正仿宋_GBK" w:cs="Times New Roman"/>
          <w:color w:val="auto"/>
          <w:kern w:val="0"/>
          <w:sz w:val="32"/>
          <w:szCs w:val="32"/>
        </w:rPr>
        <w:t>-067</w:t>
      </w:r>
    </w:p>
    <w:p>
      <w:pPr>
        <w:pStyle w:val="2"/>
        <w:tabs>
          <w:tab w:val="left" w:pos="2204"/>
        </w:tabs>
        <w:rPr>
          <w:rFonts w:ascii="方正仿宋简体" w:eastAsia="方正仿宋简体"/>
          <w:color w:val="auto"/>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jc w:val="center"/>
        <w:rPr>
          <w:rFonts w:ascii="方正仿宋简体" w:hAnsi="宋体" w:eastAsia="方正仿宋简体"/>
          <w:b/>
          <w:bCs/>
          <w:color w:val="auto"/>
          <w:sz w:val="52"/>
          <w:szCs w:val="52"/>
        </w:rPr>
      </w:pPr>
      <w:r>
        <w:rPr>
          <w:rFonts w:hint="eastAsia" w:ascii="方正仿宋简体" w:hAnsi="宋体" w:eastAsia="方正仿宋简体"/>
          <w:b/>
          <w:bCs/>
          <w:color w:val="auto"/>
          <w:sz w:val="52"/>
          <w:szCs w:val="52"/>
        </w:rPr>
        <w:t>响 应 文 件</w:t>
      </w:r>
    </w:p>
    <w:p>
      <w:pPr>
        <w:pStyle w:val="2"/>
        <w:rPr>
          <w:rFonts w:ascii="方正仿宋简体" w:eastAsia="方正仿宋简体"/>
          <w:color w:val="auto"/>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spacing w:line="360" w:lineRule="auto"/>
        <w:rPr>
          <w:rFonts w:ascii="方正仿宋简体" w:hAnsi="宋体" w:eastAsia="方正仿宋简体"/>
          <w:b/>
          <w:color w:val="auto"/>
          <w:sz w:val="28"/>
          <w:szCs w:val="28"/>
        </w:rPr>
      </w:pPr>
      <w:bookmarkStart w:id="0" w:name="_Toc24434"/>
      <w:bookmarkEnd w:id="0"/>
      <w:r>
        <w:rPr>
          <w:rFonts w:hint="eastAsia" w:ascii="方正仿宋简体" w:hAnsi="宋体" w:eastAsia="方正仿宋简体"/>
          <w:b/>
          <w:color w:val="auto"/>
          <w:sz w:val="28"/>
          <w:szCs w:val="28"/>
        </w:rPr>
        <w:t>报价单位名称：</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(填写并盖公章)</w:t>
      </w:r>
    </w:p>
    <w:p>
      <w:pPr>
        <w:spacing w:line="360" w:lineRule="auto"/>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pPr>
        <w:spacing w:line="360" w:lineRule="auto"/>
        <w:rPr>
          <w:rFonts w:ascii="方正仿宋简体" w:eastAsia="方正仿宋简体"/>
          <w:b/>
          <w:color w:val="auto"/>
          <w:sz w:val="28"/>
          <w:szCs w:val="28"/>
        </w:r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p>
    <w:p>
      <w:pPr>
        <w:pStyle w:val="2"/>
        <w:rPr>
          <w:rFonts w:ascii="方正仿宋简体" w:eastAsia="方正仿宋简体"/>
          <w:b/>
          <w:color w:val="auto"/>
          <w:sz w:val="28"/>
          <w:szCs w:val="28"/>
        </w:rPr>
      </w:pPr>
      <w:r>
        <w:rPr>
          <w:rFonts w:hint="eastAsia" w:ascii="方正仿宋简体" w:eastAsia="方正仿宋简体"/>
          <w:b/>
          <w:color w:val="auto"/>
          <w:sz w:val="28"/>
          <w:szCs w:val="28"/>
        </w:rPr>
        <w:t xml:space="preserve">联系人：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 xml:space="preserve">联系电话 ：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邮箱：</w:t>
      </w:r>
    </w:p>
    <w:p>
      <w:pPr>
        <w:pStyle w:val="4"/>
        <w:spacing w:before="0" w:after="0" w:line="720" w:lineRule="auto"/>
        <w:rPr>
          <w:rFonts w:ascii="黑体" w:hAnsi="黑体" w:eastAsia="黑体"/>
          <w:bCs w:val="0"/>
          <w:color w:val="auto"/>
        </w:rPr>
        <w:sectPr>
          <w:footerReference r:id="rId3" w:type="default"/>
          <w:pgSz w:w="11906" w:h="16838"/>
          <w:pgMar w:top="1191" w:right="1191" w:bottom="1191" w:left="1304" w:header="720" w:footer="720" w:gutter="0"/>
          <w:pgNumType w:fmt="numberInDash"/>
          <w:cols w:space="720" w:num="1"/>
          <w:docGrid w:type="lines" w:linePitch="317" w:charSpace="0"/>
        </w:sectPr>
      </w:pPr>
    </w:p>
    <w:p>
      <w:pPr>
        <w:pStyle w:val="4"/>
        <w:rPr>
          <w:rFonts w:ascii="黑体" w:hAnsi="黑体" w:eastAsia="黑体"/>
          <w:bCs w:val="0"/>
          <w:color w:val="auto"/>
        </w:rPr>
      </w:pPr>
      <w:r>
        <w:rPr>
          <w:rFonts w:hint="eastAsia" w:ascii="黑体" w:hAnsi="黑体" w:eastAsia="黑体"/>
          <w:bCs w:val="0"/>
          <w:color w:val="auto"/>
        </w:rPr>
        <w:t>报价人信息表</w:t>
      </w:r>
    </w:p>
    <w:p>
      <w:pPr>
        <w:pStyle w:val="2"/>
        <w:ind w:firstLine="2940" w:firstLineChars="1400"/>
        <w:rPr>
          <w:color w:val="auto"/>
        </w:rPr>
      </w:pPr>
      <w:r>
        <w:rPr>
          <w:rFonts w:hint="eastAsia"/>
          <w:color w:val="auto"/>
        </w:rPr>
        <w:t>（请投标人如实填写本表信息）</w:t>
      </w:r>
    </w:p>
    <w:tbl>
      <w:tblPr>
        <w:tblStyle w:val="13"/>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05"/>
        <w:gridCol w:w="2407"/>
        <w:gridCol w:w="1203"/>
        <w:gridCol w:w="1204"/>
        <w:gridCol w:w="2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406" w:type="dxa"/>
            <w:gridSpan w:val="2"/>
            <w:vAlign w:val="center"/>
          </w:tcPr>
          <w:p>
            <w:pPr>
              <w:rPr>
                <w:rFonts w:ascii="黑体" w:hAnsi="黑体" w:eastAsia="黑体"/>
                <w:b/>
                <w:bCs/>
                <w:color w:val="auto"/>
                <w:sz w:val="28"/>
                <w:szCs w:val="28"/>
              </w:rPr>
            </w:pPr>
            <w:r>
              <w:rPr>
                <w:rFonts w:hint="eastAsia"/>
                <w:b/>
                <w:bCs/>
                <w:color w:val="auto"/>
                <w:szCs w:val="24"/>
              </w:rPr>
              <w:t>公司名称（必填）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公司地址（必填）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b/>
                <w:bCs/>
                <w:color w:val="auto"/>
                <w:szCs w:val="24"/>
              </w:rPr>
              <w:t>法定代表人（必填）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开户银行（必填）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开户基本账号（必填）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企业类型（必填）</w:t>
            </w:r>
          </w:p>
        </w:tc>
        <w:tc>
          <w:tcPr>
            <w:tcW w:w="7221" w:type="dxa"/>
            <w:gridSpan w:val="4"/>
          </w:tcPr>
          <w:p>
            <w:pPr>
              <w:rPr>
                <w:rFonts w:ascii="黑体" w:hAnsi="黑体" w:eastAsia="黑体"/>
                <w:b/>
                <w:color w:val="auto"/>
                <w:sz w:val="28"/>
                <w:szCs w:val="28"/>
              </w:rPr>
            </w:pPr>
            <w:r>
              <w:rPr>
                <w:rFonts w:hint="eastAsia" w:ascii="黑体" w:hAnsi="黑体" w:eastAsia="黑体"/>
                <w:bCs/>
                <w:color w:val="auto"/>
                <w:sz w:val="24"/>
                <w:szCs w:val="24"/>
              </w:rPr>
              <w:sym w:font="Wingdings" w:char="F0A8"/>
            </w:r>
            <w:r>
              <w:rPr>
                <w:rFonts w:hint="eastAsia" w:ascii="黑体" w:hAnsi="黑体" w:eastAsia="黑体"/>
                <w:bCs/>
                <w:color w:val="auto"/>
                <w:sz w:val="24"/>
                <w:szCs w:val="24"/>
              </w:rPr>
              <w:t xml:space="preserve">大型 </w:t>
            </w:r>
            <w:r>
              <w:rPr>
                <w:rFonts w:ascii="黑体" w:hAnsi="黑体" w:eastAsia="黑体"/>
                <w:bCs/>
                <w:color w:val="auto"/>
                <w:sz w:val="24"/>
                <w:szCs w:val="24"/>
              </w:rPr>
              <w:t xml:space="preserve">      </w:t>
            </w:r>
            <w:r>
              <w:rPr>
                <w:rFonts w:ascii="黑体" w:hAnsi="黑体" w:eastAsia="黑体"/>
                <w:bCs/>
                <w:color w:val="auto"/>
                <w:sz w:val="24"/>
                <w:szCs w:val="24"/>
              </w:rPr>
              <w:sym w:font="Wingdings" w:char="F0A8"/>
            </w:r>
            <w:r>
              <w:rPr>
                <w:rFonts w:hint="eastAsia" w:ascii="黑体" w:hAnsi="黑体" w:eastAsia="黑体"/>
                <w:bCs/>
                <w:color w:val="auto"/>
                <w:sz w:val="24"/>
                <w:szCs w:val="24"/>
              </w:rPr>
              <w:t xml:space="preserve">中型 </w:t>
            </w:r>
            <w:r>
              <w:rPr>
                <w:rFonts w:ascii="黑体" w:hAnsi="黑体" w:eastAsia="黑体"/>
                <w:bCs/>
                <w:color w:val="auto"/>
                <w:sz w:val="24"/>
                <w:szCs w:val="24"/>
              </w:rPr>
              <w:t xml:space="preserve">       </w:t>
            </w:r>
            <w:r>
              <w:rPr>
                <w:rFonts w:ascii="黑体" w:hAnsi="黑体" w:eastAsia="黑体"/>
                <w:bCs/>
                <w:color w:val="auto"/>
                <w:sz w:val="24"/>
                <w:szCs w:val="24"/>
              </w:rPr>
              <w:sym w:font="Wingdings" w:char="F0A8"/>
            </w:r>
            <w:r>
              <w:rPr>
                <w:rFonts w:hint="eastAsia" w:ascii="黑体" w:hAnsi="黑体" w:eastAsia="黑体"/>
                <w:bCs/>
                <w:color w:val="auto"/>
                <w:sz w:val="24"/>
                <w:szCs w:val="24"/>
              </w:rPr>
              <w:t xml:space="preserve">小型、微型 </w:t>
            </w:r>
            <w:r>
              <w:rPr>
                <w:rFonts w:ascii="黑体" w:hAnsi="黑体" w:eastAsia="黑体"/>
                <w:bCs/>
                <w:color w:val="auto"/>
                <w:sz w:val="24"/>
                <w:szCs w:val="24"/>
              </w:rPr>
              <w:t xml:space="preserve">  </w:t>
            </w:r>
            <w:r>
              <w:rPr>
                <w:rFonts w:hint="eastAsia" w:ascii="黑体" w:hAnsi="黑体" w:eastAsia="黑体"/>
                <w:bCs/>
                <w:color w:val="auto"/>
                <w:sz w:val="24"/>
                <w:szCs w:val="24"/>
              </w:rPr>
              <w:t>（请在相应框内打√）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2406" w:type="dxa"/>
            <w:gridSpan w:val="2"/>
            <w:vMerge w:val="restart"/>
            <w:vAlign w:val="center"/>
          </w:tcPr>
          <w:p>
            <w:pPr>
              <w:rPr>
                <w:b/>
                <w:bCs/>
                <w:color w:val="auto"/>
                <w:szCs w:val="24"/>
              </w:rPr>
            </w:pPr>
            <w:r>
              <w:rPr>
                <w:rFonts w:hint="eastAsia"/>
                <w:b/>
                <w:bCs/>
                <w:color w:val="auto"/>
                <w:szCs w:val="24"/>
              </w:rPr>
              <w:t>联系人（必填）</w:t>
            </w:r>
          </w:p>
        </w:tc>
        <w:tc>
          <w:tcPr>
            <w:tcW w:w="2407" w:type="dxa"/>
            <w:vMerge w:val="restart"/>
          </w:tcPr>
          <w:p>
            <w:pPr>
              <w:rPr>
                <w:color w:val="auto"/>
                <w:szCs w:val="24"/>
              </w:rPr>
            </w:pPr>
          </w:p>
        </w:tc>
        <w:tc>
          <w:tcPr>
            <w:tcW w:w="1203" w:type="dxa"/>
            <w:vMerge w:val="restart"/>
            <w:vAlign w:val="center"/>
          </w:tcPr>
          <w:p>
            <w:pPr>
              <w:jc w:val="center"/>
              <w:rPr>
                <w:b/>
                <w:bCs/>
                <w:color w:val="auto"/>
                <w:szCs w:val="24"/>
              </w:rPr>
            </w:pPr>
            <w:r>
              <w:rPr>
                <w:rFonts w:hint="eastAsia"/>
                <w:b/>
                <w:bCs/>
                <w:color w:val="auto"/>
                <w:szCs w:val="24"/>
              </w:rPr>
              <w:t>联系电话</w:t>
            </w:r>
          </w:p>
          <w:p>
            <w:pPr>
              <w:pStyle w:val="2"/>
              <w:rPr>
                <w:color w:val="auto"/>
              </w:rPr>
            </w:pPr>
            <w:r>
              <w:rPr>
                <w:rFonts w:hint="eastAsia"/>
                <w:b/>
                <w:bCs/>
                <w:color w:val="auto"/>
              </w:rPr>
              <w:t>（必填）</w:t>
            </w:r>
          </w:p>
        </w:tc>
        <w:tc>
          <w:tcPr>
            <w:tcW w:w="1204" w:type="dxa"/>
            <w:vAlign w:val="center"/>
          </w:tcPr>
          <w:p>
            <w:pPr>
              <w:jc w:val="center"/>
              <w:rPr>
                <w:b/>
                <w:bCs/>
                <w:color w:val="auto"/>
                <w:szCs w:val="24"/>
              </w:rPr>
            </w:pPr>
            <w:r>
              <w:rPr>
                <w:rFonts w:hint="eastAsia"/>
                <w:b/>
                <w:bCs/>
                <w:color w:val="auto"/>
                <w:szCs w:val="24"/>
              </w:rPr>
              <w:t>手机</w:t>
            </w:r>
          </w:p>
        </w:tc>
        <w:tc>
          <w:tcPr>
            <w:tcW w:w="2407" w:type="dxa"/>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2406" w:type="dxa"/>
            <w:gridSpan w:val="2"/>
            <w:vMerge w:val="continue"/>
          </w:tcPr>
          <w:p>
            <w:pPr>
              <w:rPr>
                <w:color w:val="auto"/>
                <w:szCs w:val="24"/>
              </w:rPr>
            </w:pPr>
          </w:p>
        </w:tc>
        <w:tc>
          <w:tcPr>
            <w:tcW w:w="2407" w:type="dxa"/>
            <w:vMerge w:val="continue"/>
          </w:tcPr>
          <w:p>
            <w:pPr>
              <w:rPr>
                <w:color w:val="auto"/>
                <w:szCs w:val="24"/>
              </w:rPr>
            </w:pPr>
          </w:p>
        </w:tc>
        <w:tc>
          <w:tcPr>
            <w:tcW w:w="1203" w:type="dxa"/>
            <w:vMerge w:val="continue"/>
          </w:tcPr>
          <w:p>
            <w:pPr>
              <w:rPr>
                <w:b/>
                <w:bCs/>
                <w:color w:val="auto"/>
                <w:szCs w:val="24"/>
              </w:rPr>
            </w:pPr>
          </w:p>
        </w:tc>
        <w:tc>
          <w:tcPr>
            <w:tcW w:w="1204" w:type="dxa"/>
            <w:vAlign w:val="center"/>
          </w:tcPr>
          <w:p>
            <w:pPr>
              <w:jc w:val="center"/>
              <w:rPr>
                <w:b/>
                <w:bCs/>
                <w:color w:val="auto"/>
                <w:szCs w:val="24"/>
              </w:rPr>
            </w:pPr>
            <w:r>
              <w:rPr>
                <w:rFonts w:hint="eastAsia"/>
                <w:b/>
                <w:bCs/>
                <w:color w:val="auto"/>
                <w:szCs w:val="24"/>
              </w:rPr>
              <w:t>固定电话</w:t>
            </w:r>
          </w:p>
        </w:tc>
        <w:tc>
          <w:tcPr>
            <w:tcW w:w="2407" w:type="dxa"/>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color w:val="auto"/>
                <w:szCs w:val="24"/>
              </w:rPr>
              <w:t>联系传真</w:t>
            </w:r>
          </w:p>
        </w:tc>
        <w:tc>
          <w:tcPr>
            <w:tcW w:w="2407" w:type="dxa"/>
            <w:vAlign w:val="center"/>
          </w:tcPr>
          <w:p>
            <w:pPr>
              <w:jc w:val="center"/>
              <w:rPr>
                <w:color w:val="auto"/>
                <w:szCs w:val="24"/>
              </w:rPr>
            </w:pPr>
          </w:p>
        </w:tc>
        <w:tc>
          <w:tcPr>
            <w:tcW w:w="2407" w:type="dxa"/>
            <w:gridSpan w:val="2"/>
            <w:vAlign w:val="center"/>
          </w:tcPr>
          <w:p>
            <w:pPr>
              <w:jc w:val="center"/>
              <w:rPr>
                <w:b/>
                <w:bCs/>
                <w:color w:val="auto"/>
                <w:szCs w:val="24"/>
              </w:rPr>
            </w:pPr>
            <w:r>
              <w:rPr>
                <w:rFonts w:hint="eastAsia"/>
                <w:b/>
                <w:bCs/>
                <w:color w:val="auto"/>
                <w:szCs w:val="24"/>
              </w:rPr>
              <w:t>联系邮箱（必填）</w:t>
            </w:r>
          </w:p>
          <w:p>
            <w:pPr>
              <w:jc w:val="center"/>
              <w:rPr>
                <w:b/>
                <w:bCs/>
                <w:color w:val="auto"/>
                <w:szCs w:val="24"/>
              </w:rPr>
            </w:pPr>
            <w:r>
              <w:rPr>
                <w:rFonts w:hint="eastAsia"/>
                <w:b/>
                <w:bCs/>
                <w:color w:val="auto"/>
                <w:sz w:val="18"/>
              </w:rPr>
              <w:t>（合同往来、订单发送等）</w:t>
            </w:r>
          </w:p>
        </w:tc>
        <w:tc>
          <w:tcPr>
            <w:tcW w:w="2407" w:type="dxa"/>
            <w:vAlign w:val="center"/>
          </w:tcPr>
          <w:p>
            <w:pPr>
              <w:jc w:val="cente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color w:val="auto"/>
                <w:szCs w:val="24"/>
              </w:rPr>
              <w:t>经营范围</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7" w:type="dxa"/>
            <w:gridSpan w:val="6"/>
          </w:tcPr>
          <w:p>
            <w:pPr>
              <w:rPr>
                <w:color w:val="auto"/>
                <w:szCs w:val="24"/>
              </w:rPr>
            </w:pPr>
            <w:r>
              <w:rPr>
                <w:rFonts w:hint="eastAsia"/>
                <w:color w:val="auto"/>
                <w:szCs w:val="24"/>
              </w:rPr>
              <w:t>公司资质及各类生产、经营许可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trPr>
        <w:tc>
          <w:tcPr>
            <w:tcW w:w="9627" w:type="dxa"/>
            <w:gridSpan w:val="6"/>
          </w:tcPr>
          <w:p>
            <w:pPr>
              <w:rPr>
                <w:color w:val="auto"/>
                <w:szCs w:val="24"/>
              </w:rPr>
            </w:pPr>
            <w:r>
              <w:rPr>
                <w:rFonts w:hint="eastAsia"/>
                <w:color w:val="auto"/>
                <w:szCs w:val="24"/>
              </w:rPr>
              <w:t>如：设备、经销商（生产、经营许可许可证、产品认证）、其他资质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rPr>
                <w:rFonts w:ascii="黑体" w:hAnsi="黑体" w:eastAsia="黑体"/>
                <w:b/>
                <w:color w:val="auto"/>
                <w:sz w:val="28"/>
                <w:szCs w:val="28"/>
              </w:rPr>
            </w:pPr>
            <w:r>
              <w:rPr>
                <w:rFonts w:hint="eastAsia"/>
                <w:color w:val="auto"/>
                <w:szCs w:val="24"/>
              </w:rPr>
              <w:t>备注：</w:t>
            </w:r>
          </w:p>
        </w:tc>
        <w:tc>
          <w:tcPr>
            <w:tcW w:w="8526" w:type="dxa"/>
            <w:gridSpan w:val="5"/>
          </w:tcPr>
          <w:p>
            <w:pPr>
              <w:rPr>
                <w:rFonts w:ascii="黑体" w:hAnsi="黑体" w:eastAsia="黑体"/>
                <w:b/>
                <w:color w:val="auto"/>
                <w:sz w:val="28"/>
                <w:szCs w:val="28"/>
              </w:rPr>
            </w:pPr>
          </w:p>
        </w:tc>
      </w:tr>
    </w:tbl>
    <w:p>
      <w:pPr>
        <w:adjustRightInd w:val="0"/>
        <w:spacing w:line="400" w:lineRule="exact"/>
        <w:ind w:firstLine="5622" w:firstLineChars="2000"/>
        <w:rPr>
          <w:rFonts w:ascii="黑体" w:hAnsi="黑体" w:eastAsia="黑体"/>
          <w:b/>
          <w:color w:val="auto"/>
          <w:sz w:val="28"/>
          <w:szCs w:val="28"/>
        </w:rPr>
      </w:pPr>
      <w:r>
        <w:rPr>
          <w:rFonts w:hint="eastAsia" w:ascii="黑体" w:hAnsi="黑体" w:eastAsia="黑体"/>
          <w:b/>
          <w:color w:val="auto"/>
          <w:sz w:val="28"/>
          <w:szCs w:val="28"/>
        </w:rPr>
        <w:t xml:space="preserve"> </w:t>
      </w: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rPr>
          <w:rFonts w:ascii="黑体" w:hAnsi="黑体" w:eastAsia="黑体"/>
          <w:b/>
          <w:color w:val="auto"/>
          <w:sz w:val="28"/>
          <w:szCs w:val="28"/>
        </w:rPr>
      </w:pPr>
    </w:p>
    <w:p>
      <w:pPr>
        <w:adjustRightInd w:val="0"/>
        <w:spacing w:line="400" w:lineRule="exact"/>
        <w:ind w:firstLine="4800" w:firstLineChars="2000"/>
        <w:rPr>
          <w:rFonts w:ascii="仿宋_GB2312" w:hAnsi="宋体" w:eastAsia="仿宋_GB2312"/>
          <w:color w:val="auto"/>
          <w:sz w:val="24"/>
        </w:rPr>
      </w:pPr>
      <w:r>
        <w:rPr>
          <w:rFonts w:hint="eastAsia" w:ascii="仿宋_GB2312" w:hAnsi="宋体" w:eastAsia="仿宋_GB2312"/>
          <w:color w:val="auto"/>
          <w:sz w:val="24"/>
        </w:rPr>
        <w:t>投标单位名称：        （填写并盖章）</w:t>
      </w:r>
    </w:p>
    <w:p>
      <w:pPr>
        <w:adjustRightInd w:val="0"/>
        <w:spacing w:line="400" w:lineRule="exact"/>
        <w:ind w:left="4410" w:leftChars="2100"/>
        <w:rPr>
          <w:rFonts w:ascii="仿宋_GB2312" w:hAnsi="宋体" w:eastAsia="仿宋_GB2312"/>
          <w:color w:val="auto"/>
          <w:sz w:val="24"/>
        </w:rPr>
      </w:pPr>
    </w:p>
    <w:p>
      <w:pPr>
        <w:adjustRightInd w:val="0"/>
        <w:spacing w:line="400" w:lineRule="exact"/>
        <w:ind w:left="4830" w:leftChars="2300"/>
        <w:rPr>
          <w:rFonts w:ascii="仿宋_GB2312" w:hAnsi="宋体" w:eastAsia="仿宋_GB2312"/>
          <w:color w:val="auto"/>
          <w:sz w:val="24"/>
        </w:rPr>
      </w:pPr>
      <w:r>
        <w:rPr>
          <w:rFonts w:hint="eastAsia" w:ascii="仿宋_GB2312" w:hAnsi="宋体" w:eastAsia="仿宋_GB2312"/>
          <w:color w:val="auto"/>
          <w:sz w:val="24"/>
        </w:rPr>
        <w:t>法定代表人或授权代表（签字或盖章）：                      日期：</w:t>
      </w:r>
    </w:p>
    <w:p>
      <w:pPr>
        <w:ind w:firstLine="3092" w:firstLineChars="1100"/>
        <w:rPr>
          <w:rFonts w:ascii="黑体" w:hAnsi="黑体" w:eastAsia="黑体"/>
          <w:b/>
          <w:color w:val="auto"/>
          <w:sz w:val="28"/>
          <w:szCs w:val="28"/>
        </w:rPr>
      </w:pPr>
    </w:p>
    <w:p>
      <w:pPr>
        <w:pStyle w:val="4"/>
        <w:spacing w:before="0" w:after="0" w:line="720" w:lineRule="auto"/>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p>
    <w:p>
      <w:pPr>
        <w:pStyle w:val="4"/>
        <w:spacing w:before="0" w:after="0" w:line="720" w:lineRule="auto"/>
        <w:rPr>
          <w:rFonts w:ascii="黑体" w:hAnsi="黑体" w:eastAsia="黑体"/>
          <w:bCs w:val="0"/>
          <w:color w:val="auto"/>
        </w:rPr>
      </w:pPr>
      <w:r>
        <w:rPr>
          <w:rFonts w:hint="eastAsia" w:ascii="黑体" w:hAnsi="黑体" w:eastAsia="黑体"/>
          <w:bCs w:val="0"/>
          <w:color w:val="auto"/>
        </w:rPr>
        <w:t>目录</w:t>
      </w:r>
    </w:p>
    <w:p>
      <w:pPr>
        <w:jc w:val="distribute"/>
        <w:rPr>
          <w:rFonts w:ascii="方正仿宋简体" w:hAnsi="宋体" w:eastAsia="方正仿宋简体" w:cs="宋体"/>
          <w:color w:val="auto"/>
          <w:sz w:val="28"/>
          <w:szCs w:val="28"/>
        </w:rPr>
      </w:pPr>
      <w:r>
        <w:rPr>
          <w:rFonts w:hint="eastAsia" w:ascii="方正仿宋简体" w:hAnsi="宋体" w:eastAsia="方正仿宋简体" w:cs="宋体"/>
          <w:color w:val="auto"/>
          <w:sz w:val="28"/>
          <w:szCs w:val="28"/>
        </w:rPr>
        <w:t>序号...................</w:t>
      </w:r>
      <w:r>
        <w:rPr>
          <w:color w:val="auto"/>
        </w:rPr>
        <w:t xml:space="preserve"> </w:t>
      </w:r>
      <w:r>
        <w:rPr>
          <w:rFonts w:ascii="方正仿宋简体" w:hAnsi="宋体" w:eastAsia="方正仿宋简体" w:cs="宋体"/>
          <w:color w:val="auto"/>
          <w:sz w:val="28"/>
          <w:szCs w:val="28"/>
        </w:rPr>
        <w:t>...........................</w:t>
      </w:r>
      <w:r>
        <w:rPr>
          <w:rFonts w:hint="eastAsia" w:ascii="方正仿宋简体" w:hAnsi="宋体" w:eastAsia="方正仿宋简体" w:cs="宋体"/>
          <w:color w:val="auto"/>
          <w:sz w:val="28"/>
          <w:szCs w:val="28"/>
        </w:rPr>
        <w:t>.............页码</w:t>
      </w:r>
    </w:p>
    <w:p>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pPr>
        <w:pStyle w:val="2"/>
        <w:rPr>
          <w:rFonts w:ascii="方正仿宋简体" w:eastAsia="方正仿宋简体"/>
          <w:color w:val="auto"/>
        </w:rPr>
      </w:pPr>
    </w:p>
    <w:p>
      <w:pPr>
        <w:rPr>
          <w:rFonts w:ascii="方正仿宋简体" w:hAnsi="宋体" w:eastAsia="方正仿宋简体"/>
          <w:color w:val="auto"/>
        </w:rPr>
      </w:pPr>
    </w:p>
    <w:p>
      <w:pPr>
        <w:rPr>
          <w:rFonts w:ascii="方正仿宋简体" w:hAnsi="宋体" w:eastAsia="方正仿宋简体"/>
          <w:color w:val="auto"/>
        </w:rPr>
      </w:pPr>
      <w:r>
        <w:rPr>
          <w:rFonts w:hint="eastAsia" w:ascii="方正仿宋简体" w:hAnsi="宋体" w:eastAsia="方正仿宋简体"/>
          <w:color w:val="auto"/>
        </w:rPr>
        <w:t xml:space="preserve"> </w:t>
      </w:r>
    </w:p>
    <w:p>
      <w:pPr>
        <w:jc w:val="distribute"/>
        <w:rPr>
          <w:rFonts w:ascii="方正仿宋简体" w:eastAsia="方正仿宋简体"/>
          <w:b/>
          <w:color w:val="auto"/>
          <w:sz w:val="44"/>
          <w:szCs w:val="44"/>
        </w:rPr>
      </w:pPr>
    </w:p>
    <w:p>
      <w:pPr>
        <w:jc w:val="center"/>
        <w:rPr>
          <w:rFonts w:ascii="方正仿宋简体" w:eastAsia="方正仿宋简体"/>
          <w:b/>
          <w:color w:val="auto"/>
          <w:sz w:val="44"/>
          <w:szCs w:val="44"/>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spacing w:line="400" w:lineRule="exact"/>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p>
    <w:p>
      <w:pPr>
        <w:pStyle w:val="4"/>
        <w:jc w:val="center"/>
        <w:rPr>
          <w:rFonts w:ascii="黑体" w:hAnsi="黑体" w:eastAsia="黑体"/>
          <w:bCs w:val="0"/>
          <w:color w:val="auto"/>
        </w:rPr>
      </w:pPr>
      <w:r>
        <w:rPr>
          <w:rFonts w:hint="eastAsia" w:ascii="黑体" w:hAnsi="黑体" w:eastAsia="黑体"/>
          <w:bCs w:val="0"/>
          <w:color w:val="auto"/>
        </w:rPr>
        <w:t>产品报价一览表</w:t>
      </w:r>
    </w:p>
    <w:p>
      <w:pPr>
        <w:pStyle w:val="2"/>
        <w:rPr>
          <w:color w:val="auto"/>
        </w:rPr>
      </w:pPr>
    </w:p>
    <w:tbl>
      <w:tblPr>
        <w:tblStyle w:val="13"/>
        <w:tblW w:w="83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1085"/>
        <w:gridCol w:w="907"/>
        <w:gridCol w:w="685"/>
        <w:gridCol w:w="823"/>
        <w:gridCol w:w="631"/>
        <w:gridCol w:w="669"/>
        <w:gridCol w:w="1023"/>
        <w:gridCol w:w="1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atLeast"/>
          <w:jc w:val="center"/>
        </w:trPr>
        <w:tc>
          <w:tcPr>
            <w:tcW w:w="1163" w:type="dxa"/>
            <w:vAlign w:val="center"/>
          </w:tcPr>
          <w:p>
            <w:pPr>
              <w:spacing w:line="400" w:lineRule="exact"/>
              <w:jc w:val="center"/>
              <w:rPr>
                <w:rFonts w:hint="eastAsia" w:ascii="宋体" w:hAnsi="宋体" w:cs="宋体" w:eastAsiaTheme="minorEastAsia"/>
                <w:b/>
                <w:color w:val="auto"/>
                <w:sz w:val="20"/>
                <w:szCs w:val="20"/>
                <w:lang w:val="en-US" w:eastAsia="zh-CN" w:bidi="ar"/>
              </w:rPr>
            </w:pPr>
            <w:r>
              <w:rPr>
                <w:rFonts w:hint="eastAsia" w:ascii="宋体" w:hAnsi="宋体" w:cs="宋体"/>
                <w:b/>
                <w:color w:val="auto"/>
                <w:sz w:val="20"/>
                <w:szCs w:val="20"/>
                <w:lang w:bidi="ar"/>
              </w:rPr>
              <w:t>耗材名称</w:t>
            </w:r>
          </w:p>
        </w:tc>
        <w:tc>
          <w:tcPr>
            <w:tcW w:w="1085" w:type="dxa"/>
            <w:vAlign w:val="center"/>
          </w:tcPr>
          <w:p>
            <w:pPr>
              <w:spacing w:line="400" w:lineRule="exact"/>
              <w:jc w:val="center"/>
              <w:rPr>
                <w:rFonts w:ascii="宋体" w:hAnsi="宋体" w:cs="宋体"/>
                <w:b/>
                <w:color w:val="auto"/>
                <w:sz w:val="20"/>
                <w:szCs w:val="20"/>
                <w:lang w:bidi="ar"/>
              </w:rPr>
            </w:pPr>
            <w:r>
              <w:rPr>
                <w:rFonts w:hint="eastAsia" w:ascii="宋体" w:hAnsi="宋体" w:cs="宋体"/>
                <w:b/>
                <w:color w:val="auto"/>
                <w:sz w:val="20"/>
                <w:szCs w:val="20"/>
                <w:lang w:val="en-US" w:eastAsia="zh-CN" w:bidi="ar"/>
              </w:rPr>
              <w:t>注册证</w:t>
            </w:r>
            <w:r>
              <w:rPr>
                <w:rFonts w:hint="eastAsia" w:ascii="宋体" w:hAnsi="宋体" w:cs="宋体"/>
                <w:b/>
                <w:color w:val="auto"/>
                <w:sz w:val="20"/>
                <w:szCs w:val="20"/>
                <w:lang w:bidi="ar"/>
              </w:rPr>
              <w:t>耗材名称</w:t>
            </w:r>
          </w:p>
        </w:tc>
        <w:tc>
          <w:tcPr>
            <w:tcW w:w="907" w:type="dxa"/>
            <w:vAlign w:val="center"/>
          </w:tcPr>
          <w:p>
            <w:pPr>
              <w:spacing w:line="400" w:lineRule="exact"/>
              <w:jc w:val="center"/>
              <w:rPr>
                <w:rFonts w:ascii="宋体" w:hAnsi="宋体" w:cs="宋体"/>
                <w:b/>
                <w:color w:val="auto"/>
                <w:sz w:val="20"/>
                <w:szCs w:val="20"/>
                <w:lang w:bidi="ar"/>
              </w:rPr>
            </w:pPr>
            <w:r>
              <w:rPr>
                <w:rFonts w:hint="eastAsia" w:ascii="宋体" w:hAnsi="宋体" w:cs="宋体"/>
                <w:b/>
                <w:color w:val="auto"/>
                <w:sz w:val="20"/>
                <w:szCs w:val="20"/>
                <w:lang w:bidi="ar"/>
              </w:rPr>
              <w:t>型号/规格</w:t>
            </w:r>
          </w:p>
        </w:tc>
        <w:tc>
          <w:tcPr>
            <w:tcW w:w="685" w:type="dxa"/>
            <w:vAlign w:val="center"/>
          </w:tcPr>
          <w:p>
            <w:pPr>
              <w:spacing w:line="400" w:lineRule="exact"/>
              <w:jc w:val="center"/>
              <w:rPr>
                <w:rFonts w:ascii="宋体" w:hAnsi="宋体" w:cs="宋体"/>
                <w:b/>
                <w:color w:val="auto"/>
                <w:sz w:val="20"/>
                <w:szCs w:val="20"/>
                <w:lang w:bidi="ar"/>
              </w:rPr>
            </w:pPr>
            <w:r>
              <w:rPr>
                <w:rFonts w:hint="eastAsia" w:ascii="宋体" w:hAnsi="宋体" w:cs="宋体"/>
                <w:b/>
                <w:color w:val="auto"/>
                <w:sz w:val="20"/>
                <w:szCs w:val="20"/>
                <w:lang w:bidi="ar"/>
              </w:rPr>
              <w:t>品牌</w:t>
            </w:r>
          </w:p>
        </w:tc>
        <w:tc>
          <w:tcPr>
            <w:tcW w:w="823" w:type="dxa"/>
            <w:vAlign w:val="center"/>
          </w:tcPr>
          <w:p>
            <w:pPr>
              <w:spacing w:line="400" w:lineRule="exact"/>
              <w:jc w:val="center"/>
              <w:rPr>
                <w:rFonts w:ascii="宋体" w:hAnsi="宋体" w:cs="宋体"/>
                <w:b/>
                <w:color w:val="auto"/>
                <w:sz w:val="20"/>
                <w:szCs w:val="20"/>
                <w:lang w:bidi="ar"/>
              </w:rPr>
            </w:pPr>
            <w:r>
              <w:rPr>
                <w:rFonts w:hint="eastAsia" w:ascii="宋体" w:hAnsi="宋体" w:cs="宋体"/>
                <w:b/>
                <w:color w:val="auto"/>
                <w:sz w:val="20"/>
                <w:szCs w:val="20"/>
                <w:lang w:bidi="ar"/>
              </w:rPr>
              <w:t>单价（元）</w:t>
            </w:r>
          </w:p>
        </w:tc>
        <w:tc>
          <w:tcPr>
            <w:tcW w:w="631" w:type="dxa"/>
            <w:vAlign w:val="center"/>
          </w:tcPr>
          <w:p>
            <w:pPr>
              <w:spacing w:line="400" w:lineRule="exact"/>
              <w:jc w:val="center"/>
              <w:rPr>
                <w:rFonts w:ascii="宋体" w:hAnsi="宋体" w:cs="宋体"/>
                <w:b/>
                <w:color w:val="auto"/>
                <w:sz w:val="20"/>
                <w:szCs w:val="20"/>
                <w:lang w:bidi="ar"/>
              </w:rPr>
            </w:pPr>
            <w:r>
              <w:rPr>
                <w:rFonts w:hint="eastAsia" w:ascii="宋体" w:hAnsi="宋体" w:cs="宋体"/>
                <w:b/>
                <w:color w:val="auto"/>
                <w:sz w:val="20"/>
                <w:szCs w:val="20"/>
                <w:lang w:bidi="ar"/>
              </w:rPr>
              <w:t>单位</w:t>
            </w:r>
          </w:p>
        </w:tc>
        <w:tc>
          <w:tcPr>
            <w:tcW w:w="669" w:type="dxa"/>
            <w:vAlign w:val="center"/>
          </w:tcPr>
          <w:p>
            <w:pPr>
              <w:spacing w:line="400" w:lineRule="exact"/>
              <w:jc w:val="center"/>
              <w:rPr>
                <w:rFonts w:ascii="宋体" w:hAnsi="宋体" w:cs="宋体"/>
                <w:b/>
                <w:color w:val="auto"/>
                <w:sz w:val="20"/>
                <w:szCs w:val="20"/>
                <w:lang w:bidi="ar"/>
              </w:rPr>
            </w:pPr>
            <w:r>
              <w:rPr>
                <w:rFonts w:hint="eastAsia" w:ascii="宋体" w:hAnsi="宋体" w:cs="宋体"/>
                <w:b/>
                <w:color w:val="auto"/>
                <w:sz w:val="20"/>
                <w:szCs w:val="20"/>
                <w:lang w:bidi="ar"/>
              </w:rPr>
              <w:t>数量</w:t>
            </w:r>
          </w:p>
        </w:tc>
        <w:tc>
          <w:tcPr>
            <w:tcW w:w="1023" w:type="dxa"/>
            <w:vAlign w:val="center"/>
          </w:tcPr>
          <w:p>
            <w:pPr>
              <w:spacing w:line="400" w:lineRule="exact"/>
              <w:jc w:val="center"/>
              <w:rPr>
                <w:rFonts w:ascii="宋体" w:hAnsi="宋体" w:cs="宋体"/>
                <w:b/>
                <w:color w:val="auto"/>
                <w:sz w:val="20"/>
                <w:szCs w:val="20"/>
                <w:lang w:bidi="ar"/>
              </w:rPr>
            </w:pPr>
            <w:r>
              <w:rPr>
                <w:rFonts w:hint="eastAsia" w:ascii="宋体" w:hAnsi="宋体" w:cs="宋体"/>
                <w:b/>
                <w:color w:val="auto"/>
                <w:sz w:val="20"/>
                <w:szCs w:val="20"/>
                <w:lang w:bidi="ar"/>
              </w:rPr>
              <w:t>金额（元）</w:t>
            </w:r>
          </w:p>
        </w:tc>
        <w:tc>
          <w:tcPr>
            <w:tcW w:w="1328" w:type="dxa"/>
            <w:vAlign w:val="center"/>
          </w:tcPr>
          <w:p>
            <w:pPr>
              <w:spacing w:line="400" w:lineRule="exact"/>
              <w:jc w:val="center"/>
              <w:rPr>
                <w:rFonts w:ascii="宋体" w:hAnsi="宋体" w:cs="宋体"/>
                <w:b/>
                <w:color w:val="auto"/>
                <w:sz w:val="20"/>
                <w:szCs w:val="20"/>
                <w:lang w:bidi="ar"/>
              </w:rPr>
            </w:pPr>
            <w:r>
              <w:rPr>
                <w:rFonts w:hint="eastAsia" w:ascii="宋体" w:hAnsi="宋体" w:cs="宋体"/>
                <w:b/>
                <w:color w:val="auto"/>
                <w:sz w:val="20"/>
                <w:szCs w:val="20"/>
                <w:lang w:bidi="ar"/>
              </w:rPr>
              <w:t>医疗器械注册证编号（对应响应文件页码）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163" w:type="dxa"/>
          </w:tcPr>
          <w:p>
            <w:pPr>
              <w:spacing w:line="400" w:lineRule="exact"/>
              <w:rPr>
                <w:rFonts w:ascii="宋体" w:hAnsi="宋体"/>
                <w:color w:val="auto"/>
              </w:rPr>
            </w:pPr>
          </w:p>
        </w:tc>
        <w:tc>
          <w:tcPr>
            <w:tcW w:w="1085" w:type="dxa"/>
          </w:tcPr>
          <w:p>
            <w:pPr>
              <w:spacing w:line="400" w:lineRule="exact"/>
              <w:rPr>
                <w:rFonts w:ascii="宋体" w:hAnsi="宋体"/>
                <w:color w:val="auto"/>
              </w:rPr>
            </w:pPr>
          </w:p>
        </w:tc>
        <w:tc>
          <w:tcPr>
            <w:tcW w:w="907" w:type="dxa"/>
          </w:tcPr>
          <w:p>
            <w:pPr>
              <w:spacing w:line="400" w:lineRule="exact"/>
              <w:rPr>
                <w:rFonts w:ascii="宋体" w:hAnsi="宋体"/>
                <w:color w:val="auto"/>
              </w:rPr>
            </w:pPr>
          </w:p>
        </w:tc>
        <w:tc>
          <w:tcPr>
            <w:tcW w:w="685" w:type="dxa"/>
          </w:tcPr>
          <w:p>
            <w:pPr>
              <w:spacing w:line="400" w:lineRule="exact"/>
              <w:rPr>
                <w:rFonts w:ascii="宋体" w:hAnsi="宋体"/>
                <w:color w:val="auto"/>
              </w:rPr>
            </w:pPr>
          </w:p>
        </w:tc>
        <w:tc>
          <w:tcPr>
            <w:tcW w:w="823" w:type="dxa"/>
          </w:tcPr>
          <w:p>
            <w:pPr>
              <w:spacing w:line="400" w:lineRule="exact"/>
              <w:rPr>
                <w:rFonts w:ascii="宋体" w:hAnsi="宋体"/>
                <w:color w:val="auto"/>
              </w:rPr>
            </w:pPr>
          </w:p>
        </w:tc>
        <w:tc>
          <w:tcPr>
            <w:tcW w:w="631" w:type="dxa"/>
          </w:tcPr>
          <w:p>
            <w:pPr>
              <w:spacing w:line="400" w:lineRule="exact"/>
              <w:rPr>
                <w:rFonts w:ascii="宋体" w:hAnsi="宋体"/>
                <w:color w:val="auto"/>
              </w:rPr>
            </w:pPr>
          </w:p>
        </w:tc>
        <w:tc>
          <w:tcPr>
            <w:tcW w:w="669" w:type="dxa"/>
          </w:tcPr>
          <w:p>
            <w:pPr>
              <w:spacing w:line="400" w:lineRule="exact"/>
              <w:rPr>
                <w:rFonts w:ascii="宋体" w:hAnsi="宋体"/>
                <w:color w:val="auto"/>
              </w:rPr>
            </w:pPr>
          </w:p>
        </w:tc>
        <w:tc>
          <w:tcPr>
            <w:tcW w:w="1023" w:type="dxa"/>
          </w:tcPr>
          <w:p>
            <w:pPr>
              <w:spacing w:line="400" w:lineRule="exact"/>
              <w:rPr>
                <w:rFonts w:ascii="宋体" w:hAnsi="宋体"/>
                <w:color w:val="auto"/>
              </w:rPr>
            </w:pPr>
          </w:p>
        </w:tc>
        <w:tc>
          <w:tcPr>
            <w:tcW w:w="1328" w:type="dxa"/>
          </w:tcPr>
          <w:p>
            <w:pPr>
              <w:spacing w:line="400" w:lineRule="exact"/>
              <w:rPr>
                <w:rFonts w:ascii="宋体" w:hAnsi="宋体" w:eastAsia="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163" w:type="dxa"/>
          </w:tcPr>
          <w:p>
            <w:pPr>
              <w:spacing w:line="400" w:lineRule="exact"/>
              <w:rPr>
                <w:rFonts w:ascii="宋体" w:hAnsi="宋体"/>
                <w:color w:val="auto"/>
              </w:rPr>
            </w:pPr>
          </w:p>
        </w:tc>
        <w:tc>
          <w:tcPr>
            <w:tcW w:w="1085" w:type="dxa"/>
          </w:tcPr>
          <w:p>
            <w:pPr>
              <w:spacing w:line="400" w:lineRule="exact"/>
              <w:rPr>
                <w:rFonts w:ascii="宋体" w:hAnsi="宋体"/>
                <w:color w:val="auto"/>
              </w:rPr>
            </w:pPr>
          </w:p>
        </w:tc>
        <w:tc>
          <w:tcPr>
            <w:tcW w:w="907" w:type="dxa"/>
          </w:tcPr>
          <w:p>
            <w:pPr>
              <w:spacing w:line="400" w:lineRule="exact"/>
              <w:rPr>
                <w:rFonts w:ascii="宋体" w:hAnsi="宋体"/>
                <w:color w:val="auto"/>
              </w:rPr>
            </w:pPr>
          </w:p>
        </w:tc>
        <w:tc>
          <w:tcPr>
            <w:tcW w:w="685" w:type="dxa"/>
          </w:tcPr>
          <w:p>
            <w:pPr>
              <w:spacing w:line="400" w:lineRule="exact"/>
              <w:rPr>
                <w:rFonts w:ascii="宋体" w:hAnsi="宋体"/>
                <w:color w:val="auto"/>
              </w:rPr>
            </w:pPr>
          </w:p>
        </w:tc>
        <w:tc>
          <w:tcPr>
            <w:tcW w:w="823" w:type="dxa"/>
          </w:tcPr>
          <w:p>
            <w:pPr>
              <w:spacing w:line="400" w:lineRule="exact"/>
              <w:rPr>
                <w:rFonts w:ascii="宋体" w:hAnsi="宋体"/>
                <w:color w:val="auto"/>
              </w:rPr>
            </w:pPr>
          </w:p>
        </w:tc>
        <w:tc>
          <w:tcPr>
            <w:tcW w:w="631" w:type="dxa"/>
          </w:tcPr>
          <w:p>
            <w:pPr>
              <w:spacing w:line="400" w:lineRule="exact"/>
              <w:rPr>
                <w:rFonts w:ascii="宋体" w:hAnsi="宋体"/>
                <w:color w:val="auto"/>
              </w:rPr>
            </w:pPr>
          </w:p>
        </w:tc>
        <w:tc>
          <w:tcPr>
            <w:tcW w:w="669" w:type="dxa"/>
          </w:tcPr>
          <w:p>
            <w:pPr>
              <w:spacing w:line="400" w:lineRule="exact"/>
              <w:rPr>
                <w:rFonts w:ascii="宋体" w:hAnsi="宋体"/>
                <w:color w:val="auto"/>
              </w:rPr>
            </w:pPr>
          </w:p>
        </w:tc>
        <w:tc>
          <w:tcPr>
            <w:tcW w:w="1023" w:type="dxa"/>
          </w:tcPr>
          <w:p>
            <w:pPr>
              <w:spacing w:line="400" w:lineRule="exact"/>
              <w:rPr>
                <w:rFonts w:ascii="宋体" w:hAnsi="宋体"/>
                <w:color w:val="auto"/>
              </w:rPr>
            </w:pPr>
          </w:p>
        </w:tc>
        <w:tc>
          <w:tcPr>
            <w:tcW w:w="1328" w:type="dxa"/>
          </w:tcPr>
          <w:p>
            <w:pPr>
              <w:spacing w:line="400" w:lineRule="exact"/>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163" w:type="dxa"/>
          </w:tcPr>
          <w:p>
            <w:pPr>
              <w:spacing w:line="400" w:lineRule="exact"/>
              <w:rPr>
                <w:rFonts w:ascii="宋体" w:hAnsi="宋体"/>
                <w:color w:val="auto"/>
              </w:rPr>
            </w:pPr>
          </w:p>
        </w:tc>
        <w:tc>
          <w:tcPr>
            <w:tcW w:w="1085" w:type="dxa"/>
          </w:tcPr>
          <w:p>
            <w:pPr>
              <w:spacing w:line="400" w:lineRule="exact"/>
              <w:rPr>
                <w:rFonts w:ascii="宋体" w:hAnsi="宋体"/>
                <w:color w:val="auto"/>
              </w:rPr>
            </w:pPr>
          </w:p>
        </w:tc>
        <w:tc>
          <w:tcPr>
            <w:tcW w:w="907" w:type="dxa"/>
          </w:tcPr>
          <w:p>
            <w:pPr>
              <w:spacing w:line="400" w:lineRule="exact"/>
              <w:rPr>
                <w:rFonts w:ascii="宋体" w:hAnsi="宋体"/>
                <w:color w:val="auto"/>
              </w:rPr>
            </w:pPr>
          </w:p>
        </w:tc>
        <w:tc>
          <w:tcPr>
            <w:tcW w:w="685" w:type="dxa"/>
          </w:tcPr>
          <w:p>
            <w:pPr>
              <w:spacing w:line="400" w:lineRule="exact"/>
              <w:rPr>
                <w:rFonts w:ascii="宋体" w:hAnsi="宋体"/>
                <w:color w:val="auto"/>
              </w:rPr>
            </w:pPr>
          </w:p>
        </w:tc>
        <w:tc>
          <w:tcPr>
            <w:tcW w:w="823" w:type="dxa"/>
          </w:tcPr>
          <w:p>
            <w:pPr>
              <w:spacing w:line="400" w:lineRule="exact"/>
              <w:rPr>
                <w:rFonts w:ascii="宋体" w:hAnsi="宋体"/>
                <w:color w:val="auto"/>
              </w:rPr>
            </w:pPr>
          </w:p>
        </w:tc>
        <w:tc>
          <w:tcPr>
            <w:tcW w:w="631" w:type="dxa"/>
          </w:tcPr>
          <w:p>
            <w:pPr>
              <w:spacing w:line="400" w:lineRule="exact"/>
              <w:rPr>
                <w:rFonts w:ascii="宋体" w:hAnsi="宋体"/>
                <w:color w:val="auto"/>
              </w:rPr>
            </w:pPr>
          </w:p>
        </w:tc>
        <w:tc>
          <w:tcPr>
            <w:tcW w:w="669" w:type="dxa"/>
          </w:tcPr>
          <w:p>
            <w:pPr>
              <w:spacing w:line="400" w:lineRule="exact"/>
              <w:rPr>
                <w:rFonts w:ascii="宋体" w:hAnsi="宋体"/>
                <w:color w:val="auto"/>
              </w:rPr>
            </w:pPr>
          </w:p>
        </w:tc>
        <w:tc>
          <w:tcPr>
            <w:tcW w:w="1023" w:type="dxa"/>
          </w:tcPr>
          <w:p>
            <w:pPr>
              <w:spacing w:line="400" w:lineRule="exact"/>
              <w:rPr>
                <w:rFonts w:ascii="宋体" w:hAnsi="宋体"/>
                <w:color w:val="auto"/>
              </w:rPr>
            </w:pPr>
          </w:p>
        </w:tc>
        <w:tc>
          <w:tcPr>
            <w:tcW w:w="1328" w:type="dxa"/>
          </w:tcPr>
          <w:p>
            <w:pPr>
              <w:spacing w:line="400" w:lineRule="exact"/>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163" w:type="dxa"/>
          </w:tcPr>
          <w:p>
            <w:pPr>
              <w:spacing w:line="400" w:lineRule="exact"/>
              <w:rPr>
                <w:rFonts w:ascii="宋体" w:hAnsi="宋体"/>
                <w:color w:val="auto"/>
              </w:rPr>
            </w:pPr>
          </w:p>
        </w:tc>
        <w:tc>
          <w:tcPr>
            <w:tcW w:w="1085" w:type="dxa"/>
          </w:tcPr>
          <w:p>
            <w:pPr>
              <w:spacing w:line="400" w:lineRule="exact"/>
              <w:rPr>
                <w:rFonts w:ascii="宋体" w:hAnsi="宋体"/>
                <w:color w:val="auto"/>
              </w:rPr>
            </w:pPr>
          </w:p>
        </w:tc>
        <w:tc>
          <w:tcPr>
            <w:tcW w:w="907" w:type="dxa"/>
          </w:tcPr>
          <w:p>
            <w:pPr>
              <w:spacing w:line="400" w:lineRule="exact"/>
              <w:rPr>
                <w:rFonts w:ascii="宋体" w:hAnsi="宋体"/>
                <w:color w:val="auto"/>
              </w:rPr>
            </w:pPr>
          </w:p>
        </w:tc>
        <w:tc>
          <w:tcPr>
            <w:tcW w:w="685" w:type="dxa"/>
          </w:tcPr>
          <w:p>
            <w:pPr>
              <w:spacing w:line="400" w:lineRule="exact"/>
              <w:rPr>
                <w:rFonts w:ascii="宋体" w:hAnsi="宋体"/>
                <w:color w:val="auto"/>
              </w:rPr>
            </w:pPr>
          </w:p>
        </w:tc>
        <w:tc>
          <w:tcPr>
            <w:tcW w:w="823" w:type="dxa"/>
          </w:tcPr>
          <w:p>
            <w:pPr>
              <w:spacing w:line="400" w:lineRule="exact"/>
              <w:rPr>
                <w:rFonts w:ascii="宋体" w:hAnsi="宋体"/>
                <w:color w:val="auto"/>
              </w:rPr>
            </w:pPr>
          </w:p>
        </w:tc>
        <w:tc>
          <w:tcPr>
            <w:tcW w:w="631" w:type="dxa"/>
          </w:tcPr>
          <w:p>
            <w:pPr>
              <w:spacing w:line="400" w:lineRule="exact"/>
              <w:rPr>
                <w:rFonts w:ascii="宋体" w:hAnsi="宋体"/>
                <w:color w:val="auto"/>
              </w:rPr>
            </w:pPr>
          </w:p>
        </w:tc>
        <w:tc>
          <w:tcPr>
            <w:tcW w:w="669" w:type="dxa"/>
          </w:tcPr>
          <w:p>
            <w:pPr>
              <w:spacing w:line="400" w:lineRule="exact"/>
              <w:rPr>
                <w:rFonts w:ascii="宋体" w:hAnsi="宋体"/>
                <w:color w:val="auto"/>
              </w:rPr>
            </w:pPr>
          </w:p>
        </w:tc>
        <w:tc>
          <w:tcPr>
            <w:tcW w:w="1023" w:type="dxa"/>
          </w:tcPr>
          <w:p>
            <w:pPr>
              <w:spacing w:line="400" w:lineRule="exact"/>
              <w:rPr>
                <w:rFonts w:ascii="宋体" w:hAnsi="宋体"/>
                <w:color w:val="auto"/>
              </w:rPr>
            </w:pPr>
          </w:p>
        </w:tc>
        <w:tc>
          <w:tcPr>
            <w:tcW w:w="1328" w:type="dxa"/>
          </w:tcPr>
          <w:p>
            <w:pPr>
              <w:spacing w:line="400" w:lineRule="exact"/>
              <w:rPr>
                <w:rFonts w:ascii="宋体" w:hAnsi="宋体"/>
                <w:color w:val="auto"/>
              </w:rPr>
            </w:pPr>
          </w:p>
        </w:tc>
      </w:tr>
    </w:tbl>
    <w:p>
      <w:pPr>
        <w:rPr>
          <w:b/>
          <w:bCs/>
          <w:color w:val="auto"/>
        </w:rPr>
      </w:pPr>
      <w:bookmarkStart w:id="1" w:name="OLE_LINK31"/>
    </w:p>
    <w:p>
      <w:pPr>
        <w:rPr>
          <w:b/>
          <w:bCs/>
          <w:color w:val="auto"/>
        </w:rPr>
      </w:pPr>
    </w:p>
    <w:p>
      <w:pPr>
        <w:spacing w:line="360" w:lineRule="auto"/>
        <w:rPr>
          <w:b/>
          <w:bCs/>
          <w:color w:val="auto"/>
        </w:rPr>
      </w:pPr>
      <w:r>
        <w:rPr>
          <w:rFonts w:hint="eastAsia"/>
          <w:b/>
          <w:bCs/>
          <w:color w:val="auto"/>
        </w:rPr>
        <w:t>注：1</w:t>
      </w:r>
      <w:r>
        <w:rPr>
          <w:b/>
          <w:bCs/>
          <w:color w:val="auto"/>
        </w:rPr>
        <w:t>.</w:t>
      </w:r>
      <w:r>
        <w:rPr>
          <w:rFonts w:hint="eastAsia"/>
          <w:b/>
          <w:bCs/>
          <w:color w:val="auto"/>
        </w:rPr>
        <w:t xml:space="preserve"> 所有价格均系用人民币表示，单位为元。</w:t>
      </w:r>
    </w:p>
    <w:p>
      <w:pPr>
        <w:spacing w:line="360" w:lineRule="auto"/>
        <w:ind w:firstLine="422" w:firstLineChars="200"/>
        <w:rPr>
          <w:b/>
          <w:bCs/>
          <w:color w:val="auto"/>
        </w:rPr>
      </w:pPr>
      <w:r>
        <w:rPr>
          <w:rFonts w:hint="eastAsia"/>
          <w:b/>
          <w:bCs/>
          <w:color w:val="auto"/>
        </w:rPr>
        <w:t>2</w:t>
      </w:r>
      <w:r>
        <w:rPr>
          <w:b/>
          <w:bCs/>
          <w:color w:val="auto"/>
        </w:rPr>
        <w:t>.</w:t>
      </w:r>
      <w:r>
        <w:rPr>
          <w:rFonts w:hint="eastAsia"/>
          <w:b/>
          <w:bCs/>
          <w:color w:val="auto"/>
        </w:rPr>
        <w:t>所投产品名称、规格</w:t>
      </w:r>
      <w:bookmarkEnd w:id="1"/>
      <w:r>
        <w:rPr>
          <w:rFonts w:hint="eastAsia"/>
          <w:b/>
          <w:bCs/>
          <w:color w:val="auto"/>
        </w:rPr>
        <w:t>/型号</w:t>
      </w:r>
      <w:r>
        <w:rPr>
          <w:rFonts w:hint="eastAsia"/>
          <w:b/>
          <w:bCs/>
          <w:color w:val="auto"/>
          <w:lang w:eastAsia="zh-CN"/>
        </w:rPr>
        <w:t>、</w:t>
      </w:r>
      <w:r>
        <w:rPr>
          <w:rFonts w:hint="eastAsia"/>
          <w:b/>
          <w:bCs/>
          <w:color w:val="auto"/>
          <w:lang w:val="en-US" w:eastAsia="zh-CN"/>
        </w:rPr>
        <w:t>品</w:t>
      </w:r>
      <w:r>
        <w:rPr>
          <w:rFonts w:hint="eastAsia"/>
          <w:b/>
          <w:bCs/>
          <w:color w:val="auto"/>
        </w:rPr>
        <w:t>牌需与《医疗器械注册证》内容一致</w:t>
      </w:r>
      <w:r>
        <w:rPr>
          <w:rFonts w:hint="eastAsia"/>
          <w:b/>
          <w:bCs/>
          <w:color w:val="auto"/>
          <w:lang w:eastAsia="zh-CN"/>
        </w:rPr>
        <w:t>。</w:t>
      </w:r>
    </w:p>
    <w:p>
      <w:pPr>
        <w:spacing w:line="360" w:lineRule="auto"/>
        <w:ind w:firstLine="422" w:firstLineChars="200"/>
        <w:rPr>
          <w:b/>
          <w:bCs/>
          <w:color w:val="auto"/>
        </w:rPr>
      </w:pPr>
      <w:r>
        <w:rPr>
          <w:b/>
          <w:bCs/>
          <w:color w:val="auto"/>
        </w:rPr>
        <w:t>3.</w:t>
      </w:r>
      <w:r>
        <w:rPr>
          <w:rFonts w:hint="eastAsia"/>
          <w:b/>
          <w:bCs/>
          <w:color w:val="auto"/>
          <w:lang w:val="en-US" w:eastAsia="zh-CN"/>
        </w:rPr>
        <w:t>数量按采购需求量填写。</w:t>
      </w:r>
    </w:p>
    <w:p>
      <w:pPr>
        <w:pStyle w:val="2"/>
        <w:ind w:firstLine="422" w:firstLineChars="200"/>
        <w:rPr>
          <w:b/>
          <w:bCs/>
          <w:color w:val="auto"/>
          <w:kern w:val="0"/>
          <w:szCs w:val="21"/>
        </w:rPr>
      </w:pPr>
      <w:r>
        <w:rPr>
          <w:b/>
          <w:bCs/>
          <w:color w:val="auto"/>
          <w:kern w:val="0"/>
          <w:szCs w:val="21"/>
        </w:rPr>
        <w:t>4.</w:t>
      </w:r>
      <w:r>
        <w:rPr>
          <w:rFonts w:hint="eastAsia"/>
          <w:b/>
          <w:bCs/>
          <w:color w:val="auto"/>
          <w:kern w:val="0"/>
          <w:szCs w:val="21"/>
        </w:rPr>
        <w:t>“报价表”为多页的，每页均需由法定代表人或授权代表签字并盖投标人印章。</w:t>
      </w:r>
    </w:p>
    <w:p>
      <w:pPr>
        <w:spacing w:line="360" w:lineRule="auto"/>
        <w:ind w:firstLine="422" w:firstLineChars="200"/>
        <w:rPr>
          <w:b/>
          <w:bCs/>
          <w:color w:val="auto"/>
        </w:rPr>
      </w:pPr>
      <w:r>
        <w:rPr>
          <w:b/>
          <w:bCs/>
          <w:color w:val="auto"/>
        </w:rPr>
        <w:t>5.</w:t>
      </w:r>
      <w:r>
        <w:rPr>
          <w:rFonts w:hint="eastAsia"/>
          <w:b/>
          <w:bCs/>
          <w:color w:val="auto"/>
        </w:rPr>
        <w:t xml:space="preserve">报价应是最终用户验收合格后的总价，包括设备运输、保险、代理、安装调试、培训、税费、系统集成费用和采购文件规定的其它费用。 </w:t>
      </w:r>
    </w:p>
    <w:p>
      <w:pPr>
        <w:adjustRightInd w:val="0"/>
        <w:spacing w:line="400" w:lineRule="exact"/>
        <w:ind w:firstLine="4560" w:firstLineChars="1900"/>
        <w:rPr>
          <w:rFonts w:ascii="仿宋_GB2312" w:hAnsi="宋体" w:eastAsia="仿宋_GB2312"/>
          <w:color w:val="auto"/>
          <w:sz w:val="24"/>
        </w:rPr>
      </w:pPr>
    </w:p>
    <w:p>
      <w:pPr>
        <w:adjustRightInd w:val="0"/>
        <w:spacing w:line="400" w:lineRule="exact"/>
        <w:ind w:firstLine="4560" w:firstLineChars="1900"/>
        <w:rPr>
          <w:rFonts w:ascii="仿宋_GB2312" w:hAnsi="宋体" w:eastAsia="仿宋_GB2312"/>
          <w:color w:val="auto"/>
          <w:sz w:val="24"/>
        </w:rPr>
      </w:pPr>
    </w:p>
    <w:p>
      <w:pPr>
        <w:adjustRightInd w:val="0"/>
        <w:spacing w:line="400" w:lineRule="exact"/>
        <w:ind w:firstLine="4560" w:firstLineChars="1900"/>
        <w:rPr>
          <w:rFonts w:ascii="仿宋_GB2312" w:hAnsi="宋体" w:eastAsia="仿宋_GB2312"/>
          <w:color w:val="auto"/>
          <w:sz w:val="24"/>
        </w:rPr>
      </w:pPr>
    </w:p>
    <w:p>
      <w:pPr>
        <w:pStyle w:val="2"/>
        <w:rPr>
          <w:color w:val="auto"/>
        </w:rPr>
      </w:pPr>
    </w:p>
    <w:p>
      <w:pPr>
        <w:pStyle w:val="2"/>
        <w:rPr>
          <w:color w:val="auto"/>
        </w:rPr>
      </w:pPr>
    </w:p>
    <w:p>
      <w:pPr>
        <w:adjustRightInd w:val="0"/>
        <w:spacing w:line="400" w:lineRule="exact"/>
        <w:ind w:firstLine="4560" w:firstLineChars="1900"/>
        <w:rPr>
          <w:rFonts w:ascii="仿宋_GB2312" w:hAnsi="宋体" w:eastAsia="仿宋_GB2312"/>
          <w:color w:val="auto"/>
          <w:sz w:val="24"/>
        </w:rPr>
      </w:pPr>
    </w:p>
    <w:p>
      <w:pPr>
        <w:adjustRightInd w:val="0"/>
        <w:spacing w:line="400" w:lineRule="exact"/>
        <w:ind w:firstLine="4560" w:firstLineChars="1900"/>
        <w:rPr>
          <w:rFonts w:ascii="仿宋_GB2312" w:hAnsi="宋体" w:eastAsia="仿宋_GB2312"/>
          <w:color w:val="auto"/>
          <w:sz w:val="24"/>
        </w:rPr>
      </w:pPr>
    </w:p>
    <w:p>
      <w:pPr>
        <w:adjustRightInd w:val="0"/>
        <w:spacing w:line="400" w:lineRule="exact"/>
        <w:ind w:firstLine="4560" w:firstLineChars="1900"/>
        <w:rPr>
          <w:rFonts w:ascii="仿宋_GB2312" w:hAnsi="宋体" w:eastAsia="仿宋_GB2312"/>
          <w:color w:val="auto"/>
          <w:sz w:val="24"/>
        </w:rPr>
      </w:pPr>
      <w:r>
        <w:rPr>
          <w:rFonts w:hint="eastAsia" w:ascii="仿宋_GB2312" w:hAnsi="宋体" w:eastAsia="仿宋_GB2312"/>
          <w:color w:val="auto"/>
          <w:sz w:val="24"/>
        </w:rPr>
        <w:t>投标单位名称：        （填写并盖章）</w:t>
      </w:r>
    </w:p>
    <w:p>
      <w:pPr>
        <w:adjustRightInd w:val="0"/>
        <w:spacing w:line="400" w:lineRule="exact"/>
        <w:ind w:left="4410" w:leftChars="2100"/>
        <w:rPr>
          <w:rFonts w:ascii="仿宋_GB2312" w:hAnsi="宋体" w:eastAsia="仿宋_GB2312"/>
          <w:color w:val="auto"/>
          <w:sz w:val="24"/>
        </w:rPr>
      </w:pPr>
    </w:p>
    <w:p>
      <w:pPr>
        <w:adjustRightInd w:val="0"/>
        <w:spacing w:line="400" w:lineRule="exact"/>
        <w:ind w:left="4620" w:leftChars="2200"/>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r>
        <w:rPr>
          <w:rFonts w:hint="eastAsia" w:ascii="仿宋_GB2312" w:hAnsi="宋体" w:eastAsia="仿宋_GB2312"/>
          <w:color w:val="auto"/>
          <w:sz w:val="24"/>
        </w:rPr>
        <w:t>法定代表人或授权代表（签字或盖章）：                      日期：</w:t>
      </w:r>
      <w:bookmarkStart w:id="2" w:name="_Toc88328822"/>
    </w:p>
    <w:p>
      <w:pPr>
        <w:pStyle w:val="4"/>
        <w:rPr>
          <w:rFonts w:ascii="黑体" w:hAnsi="黑体" w:eastAsia="黑体"/>
          <w:bCs w:val="0"/>
          <w:color w:val="auto"/>
        </w:rPr>
      </w:pPr>
      <w:r>
        <w:rPr>
          <w:rFonts w:hint="eastAsia" w:ascii="黑体" w:hAnsi="黑体" w:eastAsia="黑体"/>
          <w:bCs w:val="0"/>
          <w:color w:val="auto"/>
        </w:rPr>
        <w:t>资格审查部分（特定资格要求）</w:t>
      </w:r>
    </w:p>
    <w:p>
      <w:pPr>
        <w:pStyle w:val="26"/>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1.</w:t>
      </w:r>
      <w:r>
        <w:rPr>
          <w:rFonts w:hint="eastAsia"/>
          <w:color w:val="auto"/>
        </w:rPr>
        <w:t xml:space="preserve"> </w:t>
      </w:r>
      <w:r>
        <w:rPr>
          <w:rFonts w:hint="eastAsia" w:ascii="方正仿宋简体" w:hAnsi="宋体" w:eastAsia="方正仿宋简体"/>
          <w:color w:val="auto"/>
          <w:sz w:val="24"/>
          <w:szCs w:val="24"/>
        </w:rPr>
        <w:t>所投产品应具有生产厂商的医疗器械生产许可证、产品的医疗器械注册证或登记证，如是代理商或经销商投标还需提供医疗器械经营许可证/备案证；对不在国家《医疗器械分类目录》内的设备不作强行要求；供应商所投产品若为进口产品的，须提供制造商或全国总代或有可追溯的区域产品代理商针对本项目的专项授权书或长期代理授权书。</w:t>
      </w:r>
    </w:p>
    <w:p>
      <w:pPr>
        <w:pStyle w:val="26"/>
        <w:ind w:firstLine="480" w:firstLineChars="200"/>
        <w:rPr>
          <w:rFonts w:ascii="方正仿宋简体" w:hAnsi="宋体" w:eastAsia="方正仿宋简体"/>
          <w:color w:val="auto"/>
          <w:sz w:val="24"/>
          <w:szCs w:val="24"/>
        </w:rPr>
      </w:pPr>
    </w:p>
    <w:p>
      <w:pPr>
        <w:pStyle w:val="26"/>
        <w:ind w:firstLine="480" w:firstLineChars="200"/>
        <w:rPr>
          <w:rFonts w:ascii="方正仿宋简体" w:hAnsi="宋体" w:eastAsia="方正仿宋简体"/>
          <w:color w:val="auto"/>
          <w:sz w:val="24"/>
          <w:szCs w:val="24"/>
        </w:rPr>
      </w:pPr>
    </w:p>
    <w:p>
      <w:pPr>
        <w:pStyle w:val="4"/>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p>
    <w:p>
      <w:pPr>
        <w:pStyle w:val="4"/>
        <w:rPr>
          <w:rFonts w:ascii="黑体" w:hAnsi="黑体" w:eastAsia="黑体"/>
          <w:bCs w:val="0"/>
          <w:color w:val="auto"/>
        </w:rPr>
      </w:pPr>
      <w:r>
        <w:rPr>
          <w:rFonts w:hint="eastAsia" w:ascii="黑体" w:hAnsi="黑体" w:eastAsia="黑体"/>
          <w:bCs w:val="0"/>
          <w:color w:val="auto"/>
        </w:rPr>
        <w:t>资格审查部分（一般资格要求）</w:t>
      </w:r>
    </w:p>
    <w:p>
      <w:pPr>
        <w:pStyle w:val="4"/>
        <w:widowControl/>
        <w:autoSpaceDE w:val="0"/>
        <w:spacing w:before="0" w:after="0" w:line="360" w:lineRule="auto"/>
        <w:ind w:firstLine="480" w:firstLineChars="200"/>
        <w:jc w:val="left"/>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一、具有独立承担民事责任的能力</w:t>
      </w:r>
      <w:bookmarkEnd w:id="2"/>
    </w:p>
    <w:p>
      <w:pPr>
        <w:rPr>
          <w:rFonts w:ascii="方正仿宋简体" w:hAnsi="宋体" w:eastAsia="方正仿宋简体" w:cs="宋体"/>
          <w:color w:val="auto"/>
          <w:sz w:val="24"/>
          <w:szCs w:val="24"/>
        </w:rPr>
      </w:pPr>
      <w:bookmarkStart w:id="3" w:name="_Toc24593"/>
      <w:bookmarkEnd w:id="3"/>
      <w:bookmarkStart w:id="4" w:name="_Toc88328832"/>
      <w:bookmarkStart w:id="5" w:name="_Toc10328"/>
      <w:r>
        <w:rPr>
          <w:rFonts w:hint="eastAsia" w:ascii="方正仿宋简体" w:hAnsi="宋体" w:eastAsia="方正仿宋简体" w:cs="宋体"/>
          <w:color w:val="auto"/>
          <w:sz w:val="24"/>
          <w:szCs w:val="24"/>
        </w:rPr>
        <w:t>1.供应商具有有效的营业执照，且具有完成采购项目的供货、售后服务、技术支持能力，具有独立承担民事责任、招标项目和履行合同的能力。</w:t>
      </w:r>
    </w:p>
    <w:p>
      <w:pPr>
        <w:rPr>
          <w:rFonts w:ascii="方正仿宋简体" w:hAnsi="宋体" w:eastAsia="方正仿宋简体" w:cs="宋体"/>
          <w:color w:val="auto"/>
          <w:sz w:val="24"/>
          <w:szCs w:val="24"/>
        </w:rPr>
        <w:sectPr>
          <w:pgSz w:w="11906" w:h="16838"/>
          <w:pgMar w:top="1191" w:right="1191" w:bottom="1191" w:left="1304" w:header="720" w:footer="720" w:gutter="0"/>
          <w:pgNumType w:fmt="numberInDash"/>
          <w:cols w:space="720" w:num="1"/>
          <w:docGrid w:type="lines" w:linePitch="317" w:charSpace="0"/>
        </w:sectPr>
      </w:pPr>
    </w:p>
    <w:p>
      <w:pPr>
        <w:pStyle w:val="4"/>
        <w:widowControl/>
        <w:autoSpaceDE w:val="0"/>
        <w:spacing w:before="0" w:after="0" w:line="360" w:lineRule="auto"/>
        <w:ind w:firstLine="480"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二、法定代表人(单位负责人)身份证明书</w:t>
      </w:r>
      <w:bookmarkEnd w:id="4"/>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响应人名称：</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单位性质：</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地    址：</w:t>
      </w:r>
      <w:r>
        <w:rPr>
          <w:rFonts w:hint="eastAsia" w:ascii="方正仿宋简体" w:hAnsi="宋体" w:eastAsia="方正仿宋简体" w:cs="仿宋_GB2312"/>
          <w:color w:val="auto"/>
          <w:sz w:val="24"/>
          <w:u w:val="single"/>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成立时间：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月</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日</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经营期限：</w:t>
      </w:r>
      <w:r>
        <w:rPr>
          <w:rFonts w:hint="eastAsia" w:ascii="方正仿宋简体" w:hAnsi="宋体" w:eastAsia="方正仿宋简体" w:cs="仿宋_GB2312"/>
          <w:color w:val="auto"/>
          <w:sz w:val="24"/>
          <w:u w:val="single"/>
        </w:rPr>
        <w:t xml:space="preserve">                         </w:t>
      </w:r>
    </w:p>
    <w:p>
      <w:pPr>
        <w:spacing w:line="360" w:lineRule="auto"/>
        <w:ind w:firstLine="480" w:firstLineChars="200"/>
        <w:rPr>
          <w:rFonts w:ascii="方正仿宋简体" w:hAnsi="宋体" w:eastAsia="方正仿宋简体"/>
          <w:color w:val="auto"/>
          <w:sz w:val="24"/>
          <w:szCs w:val="24"/>
        </w:rPr>
      </w:pP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姓名：</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性别：</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年龄：</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职务：</w:t>
      </w:r>
      <w:r>
        <w:rPr>
          <w:rFonts w:hint="eastAsia" w:ascii="方正仿宋简体" w:hAnsi="宋体" w:eastAsia="方正仿宋简体"/>
          <w:color w:val="auto"/>
          <w:sz w:val="24"/>
          <w:szCs w:val="24"/>
          <w:u w:val="single"/>
        </w:rPr>
        <w:t xml:space="preserve">          </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系</w:t>
      </w:r>
      <w:r>
        <w:rPr>
          <w:rFonts w:hint="eastAsia" w:ascii="方正仿宋简体" w:hAnsi="宋体" w:eastAsia="方正仿宋简体"/>
          <w:color w:val="auto"/>
          <w:sz w:val="24"/>
          <w:szCs w:val="24"/>
          <w:u w:val="single"/>
        </w:rPr>
        <w:tab/>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特此证明。</w:t>
      </w:r>
    </w:p>
    <w:p>
      <w:pPr>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附：法定代表人(单位负责人)身份证扫描件。</w:t>
      </w:r>
    </w:p>
    <w:p>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响应人：</w:t>
      </w:r>
      <w:r>
        <w:rPr>
          <w:rFonts w:hint="eastAsia" w:ascii="方正仿宋简体" w:hAnsi="宋体" w:eastAsia="方正仿宋简体"/>
          <w:b/>
          <w:color w:val="auto"/>
          <w:sz w:val="24"/>
          <w:szCs w:val="24"/>
          <w:u w:val="single"/>
        </w:rPr>
        <w:tab/>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pPr>
        <w:spacing w:line="2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spacing w:line="20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wordWrap w:val="0"/>
        <w:ind w:right="480"/>
        <w:jc w:val="center"/>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r>
        <w:rPr>
          <w:rFonts w:ascii="方正仿宋简体" w:hAnsi="宋体" w:eastAsia="方正仿宋简体"/>
          <w:b/>
          <w:color w:val="auto"/>
          <w:sz w:val="24"/>
          <w:szCs w:val="24"/>
        </w:rPr>
        <w:t xml:space="preserve"> </w:t>
      </w:r>
      <w:r>
        <w:rPr>
          <w:rFonts w:hint="eastAsia" w:ascii="方正仿宋简体" w:hAnsi="宋体" w:eastAsia="方正仿宋简体"/>
          <w:b/>
          <w:color w:val="auto"/>
          <w:sz w:val="24"/>
          <w:szCs w:val="24"/>
        </w:rPr>
        <w:t xml:space="preserve"> 日  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pPr>
        <w:spacing w:line="360" w:lineRule="auto"/>
        <w:ind w:firstLine="5760" w:firstLineChars="2400"/>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spacing w:line="20" w:lineRule="exact"/>
        <w:rPr>
          <w:rFonts w:ascii="方正仿宋简体" w:hAnsi="宋体" w:eastAsia="方正仿宋简体"/>
          <w:b/>
          <w:bCs/>
          <w:color w:val="auto"/>
          <w:sz w:val="44"/>
          <w:szCs w:val="44"/>
        </w:rPr>
      </w:pPr>
      <w:r>
        <w:rPr>
          <w:rFonts w:hint="eastAsia" w:ascii="方正仿宋简体" w:hAnsi="宋体" w:eastAsia="方正仿宋简体"/>
          <w:color w:val="auto"/>
        </w:rPr>
        <w:t xml:space="preserve"> </w:t>
      </w:r>
    </w:p>
    <w:tbl>
      <w:tblPr>
        <w:tblStyle w:val="13"/>
        <w:tblW w:w="9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trPr>
        <w:tc>
          <w:tcPr>
            <w:tcW w:w="9550" w:type="dxa"/>
            <w:vAlign w:val="center"/>
          </w:tcPr>
          <w:p>
            <w:pPr>
              <w:spacing w:before="317" w:beforeLines="100" w:after="317" w:afterLines="100" w:line="600" w:lineRule="exact"/>
              <w:jc w:val="center"/>
              <w:rPr>
                <w:rFonts w:ascii="方正仿宋简体" w:hAnsi="宋体" w:eastAsia="方正仿宋简体"/>
                <w:color w:val="auto"/>
              </w:rPr>
            </w:pPr>
            <w:bookmarkStart w:id="6" w:name="_Toc31847"/>
            <w:bookmarkEnd w:id="6"/>
            <w:bookmarkStart w:id="7" w:name="_Toc15398"/>
            <w:bookmarkEnd w:id="7"/>
            <w:bookmarkStart w:id="8" w:name="_Toc23744"/>
            <w:r>
              <w:rPr>
                <w:rFonts w:hint="eastAsia" w:ascii="方正仿宋简体" w:hAnsi="宋体" w:eastAsia="方正仿宋简体"/>
                <w:color w:val="auto"/>
                <w:sz w:val="24"/>
                <w:szCs w:val="24"/>
              </w:rPr>
              <w:t>法定代表人(单位负责人)身份证正反面</w:t>
            </w:r>
          </w:p>
        </w:tc>
      </w:tr>
    </w:tbl>
    <w:p>
      <w:pPr>
        <w:spacing w:line="360" w:lineRule="auto"/>
        <w:rPr>
          <w:rFonts w:ascii="方正仿宋简体" w:eastAsia="方正仿宋简体"/>
          <w:color w:val="auto"/>
        </w:rPr>
      </w:pPr>
      <w:r>
        <w:rPr>
          <w:rFonts w:hint="eastAsia" w:ascii="方正仿宋简体" w:hAnsi="宋体" w:eastAsia="方正仿宋简体"/>
          <w:color w:val="auto"/>
          <w:sz w:val="24"/>
          <w:szCs w:val="24"/>
        </w:rPr>
        <w:t xml:space="preserve"> </w:t>
      </w:r>
    </w:p>
    <w:p>
      <w:pPr>
        <w:pStyle w:val="4"/>
        <w:widowControl/>
        <w:autoSpaceDE w:val="0"/>
        <w:spacing w:before="0" w:after="0" w:line="360" w:lineRule="auto"/>
        <w:ind w:firstLine="480" w:firstLineChars="200"/>
        <w:rPr>
          <w:rFonts w:ascii="方正仿宋简体" w:hAnsi="宋体" w:eastAsia="方正仿宋简体" w:cs="宋体"/>
          <w:color w:val="auto"/>
          <w:sz w:val="24"/>
          <w:szCs w:val="24"/>
        </w:rPr>
      </w:pPr>
      <w:bookmarkStart w:id="9" w:name="_Toc88328833"/>
      <w:r>
        <w:rPr>
          <w:rFonts w:hint="eastAsia" w:ascii="方正仿宋简体" w:hAnsi="宋体" w:eastAsia="方正仿宋简体" w:cs="宋体"/>
          <w:color w:val="auto"/>
          <w:sz w:val="24"/>
          <w:szCs w:val="24"/>
        </w:rPr>
        <w:t>三、授权委托书</w:t>
      </w:r>
      <w:bookmarkEnd w:id="8"/>
      <w:bookmarkEnd w:id="9"/>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本人</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(姓名)系</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(响应人名称)的法定代表人(单位负责人)，现委托</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(姓名)为我方代理人。代理人根据授权，以我方名义签署、澄清、说明、补正、递交、撤回、修改</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（项目名称）响应文件、签订合同和处理有关事宜，其法律后果由我方承担。</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代理人无转委托权。</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附：委托代理人身份证扫描件</w:t>
      </w:r>
    </w:p>
    <w:p>
      <w:pPr>
        <w:spacing w:before="468" w:line="320" w:lineRule="exact"/>
        <w:ind w:firstLine="3362"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投 标 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pPr>
        <w:spacing w:before="468" w:line="320" w:lineRule="exact"/>
        <w:ind w:firstLine="3362"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法定代表人(单位负责人)：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p>
    <w:p>
      <w:pPr>
        <w:autoSpaceDE w:val="0"/>
        <w:autoSpaceDN w:val="0"/>
        <w:adjustRightInd w:val="0"/>
        <w:spacing w:line="320" w:lineRule="exact"/>
        <w:ind w:firstLine="3362" w:firstLineChars="1400"/>
        <w:rPr>
          <w:rFonts w:ascii="方正仿宋简体" w:eastAsia="方正仿宋简体"/>
          <w:b/>
          <w:bCs/>
          <w:color w:val="auto"/>
          <w:sz w:val="24"/>
          <w:szCs w:val="24"/>
          <w:u w:val="single"/>
        </w:rPr>
      </w:pPr>
      <w:r>
        <w:rPr>
          <w:rFonts w:hint="eastAsia" w:ascii="方正仿宋简体" w:hAnsi="宋体" w:eastAsia="方正仿宋简体" w:cs="仿宋_GB2312"/>
          <w:b/>
          <w:bCs/>
          <w:color w:val="auto"/>
          <w:sz w:val="24"/>
          <w:szCs w:val="24"/>
        </w:rPr>
        <w:t>身份证号码：</w:t>
      </w:r>
      <w:r>
        <w:rPr>
          <w:rFonts w:hint="eastAsia" w:ascii="方正仿宋简体" w:hAnsi="宋体" w:eastAsia="方正仿宋简体" w:cs="仿宋_GB2312"/>
          <w:b/>
          <w:bCs/>
          <w:color w:val="auto"/>
          <w:sz w:val="24"/>
          <w:szCs w:val="24"/>
          <w:u w:val="single"/>
        </w:rPr>
        <w:t xml:space="preserve">                            </w:t>
      </w:r>
    </w:p>
    <w:p>
      <w:pPr>
        <w:spacing w:before="468" w:line="320" w:lineRule="exact"/>
        <w:ind w:firstLine="3362"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委托代理人：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r>
        <w:rPr>
          <w:rFonts w:ascii="方正仿宋简体" w:hAnsi="宋体" w:eastAsia="方正仿宋简体"/>
          <w:b/>
          <w:color w:val="auto"/>
          <w:sz w:val="24"/>
          <w:szCs w:val="24"/>
        </w:rPr>
        <w:t>s</w:t>
      </w:r>
    </w:p>
    <w:p>
      <w:pPr>
        <w:autoSpaceDE w:val="0"/>
        <w:autoSpaceDN w:val="0"/>
        <w:adjustRightInd w:val="0"/>
        <w:spacing w:line="320" w:lineRule="exact"/>
        <w:ind w:firstLine="3362" w:firstLineChars="1400"/>
        <w:rPr>
          <w:rFonts w:ascii="方正仿宋简体" w:eastAsia="方正仿宋简体"/>
          <w:color w:val="auto"/>
        </w:rPr>
      </w:pPr>
      <w:r>
        <w:rPr>
          <w:rFonts w:hint="eastAsia" w:ascii="方正仿宋简体" w:hAnsi="宋体" w:eastAsia="方正仿宋简体" w:cs="仿宋_GB2312"/>
          <w:b/>
          <w:bCs/>
          <w:color w:val="auto"/>
          <w:sz w:val="24"/>
        </w:rPr>
        <w:t>身份证号码：</w:t>
      </w:r>
      <w:r>
        <w:rPr>
          <w:rFonts w:hint="eastAsia" w:ascii="方正仿宋简体" w:hAnsi="宋体" w:eastAsia="方正仿宋简体" w:cs="仿宋_GB2312"/>
          <w:b/>
          <w:bCs/>
          <w:color w:val="auto"/>
          <w:sz w:val="24"/>
          <w:u w:val="single"/>
        </w:rPr>
        <w:t xml:space="preserve">                            </w:t>
      </w:r>
    </w:p>
    <w:p>
      <w:pPr>
        <w:spacing w:before="468" w:line="320" w:lineRule="exact"/>
        <w:ind w:firstLine="3362"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日期：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pPr>
        <w:pStyle w:val="2"/>
        <w:rPr>
          <w:color w:val="auto"/>
        </w:rPr>
      </w:pPr>
    </w:p>
    <w:tbl>
      <w:tblPr>
        <w:tblStyle w:val="13"/>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9" w:hRule="atLeast"/>
        </w:trPr>
        <w:tc>
          <w:tcPr>
            <w:tcW w:w="9595" w:type="dxa"/>
            <w:vAlign w:val="center"/>
          </w:tcPr>
          <w:p>
            <w:pPr>
              <w:spacing w:before="317" w:beforeLines="100" w:after="317" w:afterLines="100" w:line="600" w:lineRule="exact"/>
              <w:jc w:val="center"/>
              <w:rPr>
                <w:rFonts w:ascii="方正仿宋简体" w:hAnsi="宋体" w:eastAsia="方正仿宋简体"/>
                <w:color w:val="auto"/>
              </w:rPr>
            </w:pPr>
            <w:r>
              <w:rPr>
                <w:rFonts w:hint="eastAsia" w:ascii="方正仿宋简体" w:hAnsi="宋体" w:eastAsia="方正仿宋简体"/>
                <w:color w:val="auto"/>
                <w:sz w:val="24"/>
                <w:szCs w:val="24"/>
              </w:rPr>
              <w:t>代理人身份证正反面</w:t>
            </w:r>
          </w:p>
        </w:tc>
      </w:tr>
    </w:tbl>
    <w:p>
      <w:pPr>
        <w:spacing w:line="36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pStyle w:val="4"/>
        <w:numPr>
          <w:ilvl w:val="0"/>
          <w:numId w:val="2"/>
        </w:numPr>
        <w:spacing w:before="0" w:after="0" w:line="720" w:lineRule="auto"/>
        <w:jc w:val="left"/>
        <w:rPr>
          <w:rFonts w:ascii="方正仿宋简体" w:hAnsi="宋体" w:eastAsia="方正仿宋简体" w:cs="宋体"/>
          <w:b w:val="0"/>
          <w:bCs w:val="0"/>
          <w:color w:val="auto"/>
          <w:sz w:val="24"/>
          <w:szCs w:val="24"/>
        </w:rPr>
      </w:pPr>
      <w:r>
        <w:rPr>
          <w:rFonts w:hint="eastAsia" w:ascii="方正仿宋简体" w:hAnsi="宋体" w:eastAsia="方正仿宋简体"/>
          <w:b w:val="0"/>
          <w:bCs w:val="0"/>
          <w:color w:val="auto"/>
          <w:sz w:val="44"/>
          <w:szCs w:val="44"/>
        </w:rPr>
        <w:br w:type="page"/>
      </w:r>
      <w:bookmarkStart w:id="10" w:name="_Toc24801"/>
      <w:bookmarkStart w:id="11" w:name="_Toc88328823"/>
      <w:bookmarkStart w:id="12" w:name="_Toc11747"/>
      <w:r>
        <w:rPr>
          <w:rFonts w:hint="eastAsia" w:ascii="方正仿宋简体" w:hAnsi="宋体" w:eastAsia="方正仿宋简体" w:cs="宋体"/>
          <w:color w:val="auto"/>
          <w:sz w:val="24"/>
          <w:szCs w:val="24"/>
        </w:rPr>
        <w:t>具有良好的商业信誉和健全的财务会计制度</w:t>
      </w:r>
      <w:bookmarkEnd w:id="10"/>
      <w:bookmarkEnd w:id="11"/>
      <w:bookmarkEnd w:id="12"/>
      <w:bookmarkStart w:id="13" w:name="_Toc25770"/>
      <w:bookmarkStart w:id="14" w:name="_Toc27285"/>
      <w:bookmarkStart w:id="15" w:name="_Toc88328824"/>
    </w:p>
    <w:p>
      <w:pPr>
        <w:pStyle w:val="4"/>
        <w:spacing w:before="0" w:after="0" w:line="720" w:lineRule="auto"/>
        <w:ind w:firstLine="480" w:firstLineChars="200"/>
        <w:jc w:val="left"/>
        <w:rPr>
          <w:rFonts w:ascii="方正仿宋简体" w:hAnsi="宋体" w:eastAsia="方正仿宋简体" w:cs="宋体"/>
          <w:b w:val="0"/>
          <w:bCs w:val="0"/>
          <w:color w:val="auto"/>
          <w:sz w:val="24"/>
          <w:szCs w:val="24"/>
        </w:rPr>
      </w:pPr>
      <w:r>
        <w:rPr>
          <w:rFonts w:hint="eastAsia" w:ascii="方正仿宋简体" w:hAnsi="宋体" w:eastAsia="方正仿宋简体" w:cs="宋体"/>
          <w:b w:val="0"/>
          <w:bCs w:val="0"/>
          <w:color w:val="auto"/>
          <w:sz w:val="24"/>
          <w:szCs w:val="24"/>
        </w:rPr>
        <w:t>供应商未处于财产被接管、冻结和破产状态，须提供2020年度至今任意一年度的财务报告或财务报表（财务报表包括但不限于资产负债表、现金流量表、利润表，经营不足一年的，不需要提供）。</w:t>
      </w:r>
    </w:p>
    <w:p>
      <w:pPr>
        <w:pStyle w:val="4"/>
        <w:spacing w:before="0" w:after="0" w:line="720" w:lineRule="auto"/>
        <w:jc w:val="left"/>
        <w:rPr>
          <w:rFonts w:ascii="方正仿宋简体" w:hAnsi="宋体" w:eastAsia="方正仿宋简体" w:cs="宋体"/>
          <w:color w:val="auto"/>
          <w:sz w:val="24"/>
          <w:szCs w:val="28"/>
        </w:rPr>
      </w:pPr>
      <w:r>
        <w:rPr>
          <w:rFonts w:hint="eastAsia" w:ascii="方正仿宋简体" w:hAnsi="宋体" w:eastAsia="方正仿宋简体" w:cs="宋体"/>
          <w:color w:val="auto"/>
          <w:sz w:val="24"/>
          <w:szCs w:val="28"/>
        </w:rPr>
        <w:t>五</w:t>
      </w:r>
      <w:r>
        <w:rPr>
          <w:rFonts w:hint="eastAsia" w:ascii="方正仿宋简体" w:hAnsi="宋体" w:eastAsia="方正仿宋简体" w:cs="宋体"/>
          <w:color w:val="auto"/>
          <w:sz w:val="24"/>
          <w:szCs w:val="24"/>
        </w:rPr>
        <w:t>、</w:t>
      </w:r>
      <w:bookmarkEnd w:id="13"/>
      <w:bookmarkEnd w:id="14"/>
      <w:r>
        <w:rPr>
          <w:rFonts w:hint="eastAsia" w:ascii="方正仿宋简体" w:hAnsi="宋体" w:eastAsia="方正仿宋简体" w:cs="宋体"/>
          <w:color w:val="auto"/>
          <w:sz w:val="24"/>
          <w:szCs w:val="24"/>
        </w:rPr>
        <w:t>具有履行合同所必需的设备和专业技术能力</w:t>
      </w:r>
      <w:bookmarkEnd w:id="15"/>
    </w:p>
    <w:p>
      <w:pPr>
        <w:pStyle w:val="26"/>
        <w:ind w:firstLine="480" w:firstLineChars="200"/>
        <w:rPr>
          <w:rFonts w:ascii="方正仿宋简体" w:hAnsi="宋体" w:eastAsia="方正仿宋简体"/>
          <w:color w:val="auto"/>
          <w:sz w:val="24"/>
          <w:szCs w:val="24"/>
        </w:rPr>
      </w:pPr>
      <w:bookmarkStart w:id="16" w:name="_Toc14504"/>
      <w:bookmarkEnd w:id="16"/>
      <w:bookmarkStart w:id="17" w:name="_Toc20341"/>
      <w:r>
        <w:rPr>
          <w:rFonts w:hint="eastAsia" w:ascii="方正仿宋简体" w:hAnsi="宋体" w:eastAsia="方正仿宋简体"/>
          <w:color w:val="auto"/>
          <w:sz w:val="24"/>
          <w:szCs w:val="24"/>
        </w:rPr>
        <w:t>提供具备履行合同所必需的设备和专业技术能力的证明材料。</w:t>
      </w:r>
    </w:p>
    <w:bookmarkEnd w:id="17"/>
    <w:p>
      <w:pPr>
        <w:pStyle w:val="4"/>
        <w:spacing w:before="0" w:after="0" w:line="720" w:lineRule="auto"/>
        <w:jc w:val="left"/>
        <w:rPr>
          <w:rFonts w:ascii="方正仿宋简体" w:hAnsi="宋体" w:eastAsia="方正仿宋简体" w:cs="宋体"/>
          <w:color w:val="auto"/>
          <w:sz w:val="24"/>
          <w:szCs w:val="28"/>
        </w:rPr>
      </w:pPr>
      <w:bookmarkStart w:id="18" w:name="_Toc23521"/>
      <w:bookmarkStart w:id="19" w:name="_Toc1209"/>
      <w:bookmarkStart w:id="20" w:name="_Toc88328825"/>
      <w:r>
        <w:rPr>
          <w:rFonts w:hint="eastAsia" w:ascii="方正仿宋简体" w:hAnsi="宋体" w:eastAsia="方正仿宋简体" w:cs="宋体"/>
          <w:color w:val="auto"/>
          <w:sz w:val="24"/>
          <w:szCs w:val="28"/>
        </w:rPr>
        <w:t>六</w:t>
      </w:r>
      <w:r>
        <w:rPr>
          <w:rFonts w:hint="eastAsia" w:ascii="方正仿宋简体" w:hAnsi="宋体" w:eastAsia="方正仿宋简体" w:cs="宋体"/>
          <w:color w:val="auto"/>
          <w:sz w:val="24"/>
          <w:szCs w:val="24"/>
        </w:rPr>
        <w:t>、</w:t>
      </w:r>
      <w:bookmarkEnd w:id="18"/>
      <w:bookmarkEnd w:id="19"/>
      <w:r>
        <w:rPr>
          <w:rFonts w:hint="eastAsia" w:ascii="方正仿宋简体" w:hAnsi="宋体" w:eastAsia="方正仿宋简体" w:cs="宋体"/>
          <w:color w:val="auto"/>
          <w:sz w:val="24"/>
          <w:szCs w:val="24"/>
        </w:rPr>
        <w:t>有依法缴纳税收和社会保障资金的良好记录</w:t>
      </w:r>
      <w:bookmarkEnd w:id="20"/>
    </w:p>
    <w:p>
      <w:pPr>
        <w:spacing w:line="360" w:lineRule="auto"/>
        <w:ind w:firstLine="480"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投标人有依法缴纳税收和社会保障资金的良好记录，提供 2022年1月至今任意1个月依法缴纳税收和社会保障资金的有效相关证明材料；如依法免税的，应提供相应文件证明其依法免税。</w:t>
      </w:r>
    </w:p>
    <w:p>
      <w:pPr>
        <w:pStyle w:val="4"/>
        <w:spacing w:before="0" w:after="0" w:line="720" w:lineRule="auto"/>
        <w:jc w:val="left"/>
        <w:rPr>
          <w:rFonts w:ascii="方正仿宋简体" w:hAnsi="宋体" w:eastAsia="方正仿宋简体" w:cs="宋体"/>
          <w:color w:val="auto"/>
          <w:sz w:val="24"/>
          <w:szCs w:val="28"/>
        </w:rPr>
      </w:pPr>
      <w:r>
        <w:rPr>
          <w:rFonts w:hint="eastAsia" w:ascii="方正仿宋简体" w:hAnsi="宋体" w:eastAsia="方正仿宋简体" w:cs="宋体"/>
          <w:color w:val="auto"/>
          <w:sz w:val="24"/>
          <w:szCs w:val="28"/>
        </w:rPr>
        <w:t>七</w:t>
      </w:r>
      <w:r>
        <w:rPr>
          <w:rFonts w:hint="eastAsia" w:ascii="方正仿宋简体" w:hAnsi="宋体" w:eastAsia="方正仿宋简体" w:cs="宋体"/>
          <w:color w:val="auto"/>
          <w:sz w:val="24"/>
          <w:szCs w:val="24"/>
        </w:rPr>
        <w:t>、信用查询</w:t>
      </w:r>
    </w:p>
    <w:p>
      <w:pPr>
        <w:pStyle w:val="2"/>
        <w:ind w:firstLine="480" w:firstLineChars="200"/>
        <w:rPr>
          <w:rFonts w:ascii="方正仿宋简体" w:hAnsi="宋体" w:eastAsia="方正仿宋简体" w:cs="宋体"/>
          <w:color w:val="auto"/>
          <w:kern w:val="0"/>
          <w:sz w:val="24"/>
        </w:rPr>
      </w:pPr>
      <w:r>
        <w:rPr>
          <w:rFonts w:hint="eastAsia" w:ascii="方正仿宋简体" w:hAnsi="宋体" w:eastAsia="方正仿宋简体" w:cs="宋体"/>
          <w:color w:val="auto"/>
          <w:kern w:val="0"/>
          <w:sz w:val="24"/>
        </w:rPr>
        <w:t>信用记录信息查询（可通过“信用中国www.creditchina.gov.cn”、“中国政府采购网www.ccgp.gov.cn”等渠道查询，查询是否属于列入失信被执行人、税收违法黑名单、政府采购严重违法失信行为记录名单的供应商，供应商自行承诺是否具有上述情况</w:t>
      </w:r>
    </w:p>
    <w:p>
      <w:pPr>
        <w:spacing w:line="360" w:lineRule="auto"/>
        <w:ind w:firstLine="480" w:firstLineChars="200"/>
        <w:jc w:val="center"/>
        <w:rPr>
          <w:rFonts w:ascii="方正仿宋简体" w:hAnsi="宋体" w:eastAsia="方正仿宋简体"/>
          <w:color w:val="auto"/>
          <w:sz w:val="24"/>
          <w:szCs w:val="24"/>
        </w:rPr>
      </w:pPr>
    </w:p>
    <w:p>
      <w:pPr>
        <w:autoSpaceDE w:val="0"/>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pStyle w:val="4"/>
        <w:spacing w:before="0" w:after="0" w:line="720" w:lineRule="auto"/>
        <w:rPr>
          <w:rFonts w:ascii="方正仿宋简体" w:hAnsi="宋体" w:eastAsia="方正仿宋简体" w:cs="宋体"/>
          <w:color w:val="auto"/>
        </w:rPr>
      </w:pPr>
      <w:bookmarkStart w:id="21" w:name="_Toc8069"/>
      <w:bookmarkEnd w:id="21"/>
      <w:r>
        <w:rPr>
          <w:rFonts w:hint="eastAsia" w:ascii="方正仿宋简体" w:hAnsi="宋体" w:eastAsia="方正仿宋简体" w:cs="宋体"/>
          <w:color w:val="auto"/>
        </w:rPr>
        <w:br w:type="page"/>
      </w:r>
      <w:bookmarkStart w:id="22" w:name="_Toc88328826"/>
      <w:r>
        <w:rPr>
          <w:rFonts w:hint="eastAsia" w:ascii="方正仿宋简体" w:hAnsi="宋体" w:eastAsia="方正仿宋简体" w:cs="宋体"/>
          <w:color w:val="auto"/>
          <w:sz w:val="24"/>
          <w:szCs w:val="28"/>
        </w:rPr>
        <w:t>八、</w:t>
      </w:r>
      <w:bookmarkStart w:id="23" w:name="_Toc4022"/>
      <w:bookmarkEnd w:id="23"/>
      <w:bookmarkStart w:id="24" w:name="_Toc30512"/>
      <w:r>
        <w:rPr>
          <w:rFonts w:hint="eastAsia" w:ascii="方正仿宋简体" w:hAnsi="宋体" w:eastAsia="方正仿宋简体" w:cs="宋体"/>
          <w:color w:val="auto"/>
          <w:sz w:val="24"/>
          <w:szCs w:val="24"/>
        </w:rPr>
        <w:t>参加政府采购活动前三年内，在经营活动中没有重大违法记录</w:t>
      </w:r>
      <w:bookmarkEnd w:id="22"/>
    </w:p>
    <w:p>
      <w:pPr>
        <w:spacing w:line="360" w:lineRule="auto"/>
        <w:ind w:firstLine="480"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致：</w:t>
      </w:r>
      <w:r>
        <w:rPr>
          <w:rFonts w:hint="eastAsia" w:ascii="方正仿宋简体" w:hAnsi="宋体" w:eastAsia="方正仿宋简体" w:cs="宋体"/>
          <w:color w:val="auto"/>
          <w:sz w:val="24"/>
          <w:szCs w:val="24"/>
          <w:u w:val="single"/>
        </w:rPr>
        <w:t xml:space="preserve">             </w:t>
      </w:r>
      <w:r>
        <w:rPr>
          <w:rFonts w:hint="eastAsia" w:ascii="方正仿宋简体" w:hAnsi="宋体" w:eastAsia="方正仿宋简体" w:cs="宋体"/>
          <w:color w:val="auto"/>
          <w:sz w:val="24"/>
          <w:szCs w:val="24"/>
        </w:rPr>
        <w:t>（采购人）</w:t>
      </w:r>
    </w:p>
    <w:p>
      <w:pPr>
        <w:spacing w:line="360" w:lineRule="auto"/>
        <w:ind w:firstLine="480"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 xml:space="preserve"> （响应人自行承诺及说明，内容自拟）               </w:t>
      </w:r>
    </w:p>
    <w:p>
      <w:pPr>
        <w:spacing w:line="360" w:lineRule="auto"/>
        <w:ind w:firstLine="480"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 xml:space="preserve"> </w:t>
      </w:r>
    </w:p>
    <w:p>
      <w:pPr>
        <w:spacing w:line="360" w:lineRule="auto"/>
        <w:ind w:firstLine="480" w:firstLineChars="200"/>
        <w:rPr>
          <w:rFonts w:ascii="方正仿宋简体" w:hAnsi="宋体" w:eastAsia="方正仿宋简体" w:cs="宋体"/>
          <w:color w:val="auto"/>
          <w:sz w:val="24"/>
          <w:szCs w:val="24"/>
        </w:rPr>
      </w:pPr>
    </w:p>
    <w:p>
      <w:pPr>
        <w:spacing w:line="360" w:lineRule="auto"/>
        <w:ind w:firstLine="480" w:firstLineChars="200"/>
        <w:rPr>
          <w:rFonts w:ascii="方正仿宋简体" w:hAnsi="宋体" w:eastAsia="方正仿宋简体" w:cs="宋体"/>
          <w:color w:val="auto"/>
          <w:sz w:val="24"/>
          <w:szCs w:val="24"/>
        </w:rPr>
      </w:pPr>
    </w:p>
    <w:p>
      <w:pPr>
        <w:spacing w:line="360" w:lineRule="auto"/>
        <w:ind w:firstLine="480" w:firstLineChars="200"/>
        <w:rPr>
          <w:rFonts w:ascii="方正仿宋简体" w:hAnsi="宋体" w:eastAsia="方正仿宋简体" w:cs="宋体"/>
          <w:color w:val="auto"/>
          <w:sz w:val="24"/>
          <w:szCs w:val="24"/>
        </w:rPr>
      </w:pPr>
    </w:p>
    <w:p>
      <w:pPr>
        <w:ind w:firstLine="1201" w:firstLineChars="500"/>
        <w:rPr>
          <w:rFonts w:ascii="方正仿宋简体" w:hAnsi="宋体" w:eastAsia="方正仿宋简体" w:cs="宋体"/>
          <w:b/>
          <w:bCs/>
          <w:color w:val="auto"/>
          <w:sz w:val="24"/>
          <w:szCs w:val="24"/>
        </w:rPr>
      </w:pPr>
    </w:p>
    <w:p>
      <w:pPr>
        <w:ind w:firstLine="1201" w:firstLineChars="500"/>
        <w:rPr>
          <w:rFonts w:ascii="方正仿宋简体" w:hAnsi="宋体" w:eastAsia="方正仿宋简体" w:cs="宋体"/>
          <w:b/>
          <w:bCs/>
          <w:color w:val="auto"/>
          <w:sz w:val="24"/>
          <w:szCs w:val="24"/>
        </w:rPr>
      </w:pPr>
    </w:p>
    <w:p>
      <w:pPr>
        <w:ind w:firstLine="1201" w:firstLineChars="500"/>
        <w:rPr>
          <w:rFonts w:ascii="方正仿宋简体" w:hAnsi="宋体" w:eastAsia="方正仿宋简体" w:cs="宋体"/>
          <w:b/>
          <w:bCs/>
          <w:color w:val="auto"/>
          <w:sz w:val="24"/>
          <w:szCs w:val="24"/>
        </w:rPr>
      </w:pPr>
    </w:p>
    <w:p>
      <w:pPr>
        <w:pStyle w:val="2"/>
        <w:rPr>
          <w:rFonts w:ascii="方正仿宋简体" w:eastAsia="方正仿宋简体"/>
          <w:color w:val="auto"/>
        </w:rPr>
      </w:pPr>
    </w:p>
    <w:p>
      <w:pPr>
        <w:ind w:firstLine="1201" w:firstLineChars="500"/>
        <w:rPr>
          <w:rFonts w:ascii="方正仿宋简体" w:hAnsi="宋体" w:eastAsia="方正仿宋简体" w:cs="宋体"/>
          <w:b/>
          <w:bCs/>
          <w:color w:val="auto"/>
          <w:sz w:val="24"/>
          <w:szCs w:val="24"/>
        </w:rPr>
      </w:pPr>
    </w:p>
    <w:p>
      <w:pPr>
        <w:ind w:firstLine="1201" w:firstLineChars="500"/>
        <w:rPr>
          <w:rFonts w:ascii="方正仿宋简体" w:hAnsi="宋体" w:eastAsia="方正仿宋简体" w:cs="宋体"/>
          <w:b/>
          <w:bCs/>
          <w:color w:val="auto"/>
          <w:sz w:val="24"/>
          <w:szCs w:val="24"/>
        </w:rPr>
      </w:pPr>
      <w:r>
        <w:rPr>
          <w:rFonts w:hint="eastAsia" w:ascii="方正仿宋简体" w:hAnsi="宋体" w:eastAsia="方正仿宋简体" w:cs="宋体"/>
          <w:b/>
          <w:bCs/>
          <w:color w:val="auto"/>
          <w:sz w:val="24"/>
          <w:szCs w:val="24"/>
        </w:rPr>
        <w:t>响应人：</w:t>
      </w:r>
      <w:r>
        <w:rPr>
          <w:rFonts w:hint="eastAsia" w:ascii="方正仿宋简体" w:hAnsi="宋体" w:eastAsia="方正仿宋简体" w:cs="宋体"/>
          <w:b/>
          <w:bCs/>
          <w:color w:val="auto"/>
          <w:sz w:val="24"/>
          <w:szCs w:val="24"/>
          <w:u w:val="single"/>
        </w:rPr>
        <w:tab/>
      </w:r>
      <w:r>
        <w:rPr>
          <w:rFonts w:hint="eastAsia" w:ascii="方正仿宋简体" w:hAnsi="宋体" w:eastAsia="方正仿宋简体" w:cs="宋体"/>
          <w:b/>
          <w:bCs/>
          <w:color w:val="auto"/>
          <w:sz w:val="24"/>
          <w:szCs w:val="24"/>
          <w:u w:val="single"/>
        </w:rPr>
        <w:t xml:space="preserve">                                    </w:t>
      </w:r>
      <w:r>
        <w:rPr>
          <w:rFonts w:hint="eastAsia" w:ascii="方正仿宋简体" w:hAnsi="宋体" w:eastAsia="方正仿宋简体" w:cs="宋体"/>
          <w:b/>
          <w:bCs/>
          <w:color w:val="auto"/>
          <w:sz w:val="24"/>
          <w:szCs w:val="24"/>
        </w:rPr>
        <w:t>(填写并盖章)</w:t>
      </w:r>
    </w:p>
    <w:p>
      <w:pPr>
        <w:rPr>
          <w:rFonts w:ascii="方正仿宋简体" w:hAnsi="宋体" w:eastAsia="方正仿宋简体" w:cs="宋体"/>
          <w:b/>
          <w:bCs/>
          <w:color w:val="auto"/>
          <w:sz w:val="24"/>
          <w:szCs w:val="24"/>
        </w:rPr>
      </w:pPr>
      <w:r>
        <w:rPr>
          <w:rFonts w:hint="eastAsia" w:ascii="方正仿宋简体" w:hAnsi="宋体" w:eastAsia="方正仿宋简体" w:cs="宋体"/>
          <w:b/>
          <w:bCs/>
          <w:color w:val="auto"/>
          <w:sz w:val="24"/>
          <w:szCs w:val="24"/>
        </w:rPr>
        <w:t xml:space="preserve"> </w:t>
      </w:r>
    </w:p>
    <w:p>
      <w:pPr>
        <w:ind w:firstLine="1201" w:firstLineChars="500"/>
        <w:rPr>
          <w:rFonts w:ascii="方正仿宋简体" w:hAnsi="宋体" w:eastAsia="方正仿宋简体" w:cs="宋体"/>
          <w:b/>
          <w:bCs/>
          <w:color w:val="auto"/>
          <w:sz w:val="24"/>
          <w:szCs w:val="24"/>
        </w:rPr>
      </w:pPr>
      <w:r>
        <w:rPr>
          <w:rFonts w:hint="eastAsia" w:ascii="方正仿宋简体" w:hAnsi="宋体" w:eastAsia="方正仿宋简体" w:cs="宋体"/>
          <w:b/>
          <w:bCs/>
          <w:color w:val="auto"/>
          <w:sz w:val="24"/>
          <w:szCs w:val="24"/>
        </w:rPr>
        <w:t>法定代表人(单位负责人)或其委托代理人：</w:t>
      </w:r>
      <w:r>
        <w:rPr>
          <w:rFonts w:hint="eastAsia" w:ascii="方正仿宋简体" w:hAnsi="宋体" w:eastAsia="方正仿宋简体" w:cs="宋体"/>
          <w:b/>
          <w:bCs/>
          <w:color w:val="auto"/>
          <w:sz w:val="24"/>
          <w:szCs w:val="24"/>
        </w:rPr>
        <w:tab/>
      </w:r>
      <w:r>
        <w:rPr>
          <w:rFonts w:hint="eastAsia" w:ascii="方正仿宋简体" w:hAnsi="宋体" w:eastAsia="方正仿宋简体" w:cs="宋体"/>
          <w:b/>
          <w:bCs/>
          <w:color w:val="auto"/>
          <w:sz w:val="24"/>
          <w:szCs w:val="24"/>
          <w:u w:val="single"/>
        </w:rPr>
        <w:t xml:space="preserve">             </w:t>
      </w:r>
      <w:r>
        <w:rPr>
          <w:rFonts w:hint="eastAsia" w:ascii="方正仿宋简体" w:hAnsi="宋体" w:eastAsia="方正仿宋简体" w:cs="宋体"/>
          <w:b/>
          <w:bCs/>
          <w:color w:val="auto"/>
          <w:sz w:val="24"/>
          <w:szCs w:val="24"/>
        </w:rPr>
        <w:t>(签字或盖章)</w:t>
      </w:r>
    </w:p>
    <w:p>
      <w:pPr>
        <w:rPr>
          <w:rFonts w:ascii="方正仿宋简体" w:hAnsi="宋体" w:eastAsia="方正仿宋简体" w:cs="宋体"/>
          <w:b/>
          <w:bCs/>
          <w:color w:val="auto"/>
          <w:sz w:val="24"/>
          <w:szCs w:val="24"/>
        </w:rPr>
      </w:pPr>
      <w:r>
        <w:rPr>
          <w:rFonts w:hint="eastAsia" w:ascii="方正仿宋简体" w:hAnsi="宋体" w:eastAsia="方正仿宋简体" w:cs="宋体"/>
          <w:b/>
          <w:bCs/>
          <w:color w:val="auto"/>
          <w:sz w:val="24"/>
          <w:szCs w:val="24"/>
        </w:rPr>
        <w:t xml:space="preserve"> </w:t>
      </w:r>
    </w:p>
    <w:p>
      <w:pPr>
        <w:ind w:firstLine="1201" w:firstLineChars="500"/>
        <w:rPr>
          <w:rFonts w:ascii="方正仿宋简体" w:hAnsi="宋体" w:eastAsia="方正仿宋简体" w:cs="宋体"/>
          <w:color w:val="auto"/>
        </w:rPr>
      </w:pPr>
      <w:r>
        <w:rPr>
          <w:rFonts w:hint="eastAsia" w:ascii="方正仿宋简体" w:hAnsi="宋体" w:eastAsia="方正仿宋简体" w:cs="宋体"/>
          <w:b/>
          <w:bCs/>
          <w:color w:val="auto"/>
          <w:sz w:val="24"/>
          <w:szCs w:val="24"/>
        </w:rPr>
        <w:t>日期：</w:t>
      </w:r>
      <w:r>
        <w:rPr>
          <w:rFonts w:hint="eastAsia" w:ascii="方正仿宋简体" w:hAnsi="宋体" w:eastAsia="方正仿宋简体" w:cs="宋体"/>
          <w:b/>
          <w:bCs/>
          <w:color w:val="auto"/>
          <w:sz w:val="24"/>
          <w:szCs w:val="24"/>
          <w:u w:val="single"/>
        </w:rPr>
        <w:t xml:space="preserve">         </w:t>
      </w:r>
      <w:r>
        <w:rPr>
          <w:rFonts w:hint="eastAsia" w:ascii="方正仿宋简体" w:hAnsi="宋体" w:eastAsia="方正仿宋简体" w:cs="宋体"/>
          <w:b/>
          <w:bCs/>
          <w:color w:val="auto"/>
          <w:sz w:val="24"/>
          <w:szCs w:val="24"/>
        </w:rPr>
        <w:t xml:space="preserve">年 </w:t>
      </w:r>
      <w:r>
        <w:rPr>
          <w:rFonts w:hint="eastAsia" w:ascii="方正仿宋简体" w:hAnsi="宋体" w:eastAsia="方正仿宋简体" w:cs="宋体"/>
          <w:b/>
          <w:bCs/>
          <w:color w:val="auto"/>
          <w:sz w:val="24"/>
          <w:szCs w:val="24"/>
          <w:u w:val="single"/>
        </w:rPr>
        <w:tab/>
      </w:r>
      <w:r>
        <w:rPr>
          <w:rFonts w:hint="eastAsia" w:ascii="方正仿宋简体" w:hAnsi="宋体" w:eastAsia="方正仿宋简体" w:cs="宋体"/>
          <w:b/>
          <w:bCs/>
          <w:color w:val="auto"/>
          <w:sz w:val="24"/>
          <w:szCs w:val="24"/>
          <w:u w:val="single"/>
        </w:rPr>
        <w:t xml:space="preserve"> </w:t>
      </w:r>
      <w:r>
        <w:rPr>
          <w:rFonts w:hint="eastAsia" w:ascii="方正仿宋简体" w:hAnsi="宋体" w:eastAsia="方正仿宋简体" w:cs="宋体"/>
          <w:b/>
          <w:bCs/>
          <w:color w:val="auto"/>
          <w:sz w:val="24"/>
          <w:szCs w:val="24"/>
        </w:rPr>
        <w:t xml:space="preserve">月 </w:t>
      </w:r>
      <w:r>
        <w:rPr>
          <w:rFonts w:hint="eastAsia" w:ascii="方正仿宋简体" w:hAnsi="宋体" w:eastAsia="方正仿宋简体" w:cs="宋体"/>
          <w:b/>
          <w:bCs/>
          <w:color w:val="auto"/>
          <w:sz w:val="24"/>
          <w:szCs w:val="24"/>
          <w:u w:val="single"/>
        </w:rPr>
        <w:t xml:space="preserve">   </w:t>
      </w:r>
      <w:r>
        <w:rPr>
          <w:rFonts w:hint="eastAsia" w:ascii="方正仿宋简体" w:hAnsi="宋体" w:eastAsia="方正仿宋简体" w:cs="宋体"/>
          <w:b/>
          <w:bCs/>
          <w:color w:val="auto"/>
          <w:sz w:val="24"/>
          <w:szCs w:val="24"/>
        </w:rPr>
        <w:t>日</w:t>
      </w:r>
    </w:p>
    <w:p>
      <w:pPr>
        <w:pStyle w:val="2"/>
        <w:rPr>
          <w:rFonts w:ascii="方正仿宋简体" w:eastAsia="方正仿宋简体"/>
          <w:b/>
          <w:color w:val="auto"/>
          <w:sz w:val="28"/>
          <w:szCs w:val="28"/>
        </w:rPr>
      </w:pPr>
    </w:p>
    <w:p>
      <w:pPr>
        <w:pStyle w:val="2"/>
        <w:rPr>
          <w:rFonts w:ascii="方正仿宋简体" w:hAnsi="宋体" w:eastAsia="方正仿宋简体" w:cs="宋体"/>
          <w:color w:val="auto"/>
          <w:sz w:val="24"/>
        </w:rPr>
      </w:pPr>
    </w:p>
    <w:p>
      <w:pPr>
        <w:spacing w:line="360" w:lineRule="auto"/>
        <w:ind w:firstLine="480"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注：重大违法记录，是指供应商因违法经营受到刑事处罚或者责令停产停业、吊销许可证或者执照、较大数额罚款等行政处罚。</w:t>
      </w:r>
    </w:p>
    <w:bookmarkEnd w:id="24"/>
    <w:p>
      <w:pPr>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p>
    <w:bookmarkEnd w:id="5"/>
    <w:p>
      <w:pPr>
        <w:pStyle w:val="4"/>
        <w:spacing w:before="0" w:after="0" w:line="720" w:lineRule="auto"/>
        <w:rPr>
          <w:rFonts w:ascii="黑体" w:hAnsi="黑体" w:eastAsia="黑体"/>
          <w:bCs w:val="0"/>
          <w:color w:val="auto"/>
        </w:rPr>
      </w:pPr>
      <w:r>
        <w:rPr>
          <w:rFonts w:hint="eastAsia" w:ascii="黑体" w:hAnsi="黑体" w:eastAsia="黑体"/>
          <w:bCs w:val="0"/>
          <w:color w:val="auto"/>
        </w:rPr>
        <w:t>商务技术部分</w:t>
      </w:r>
      <w:bookmarkStart w:id="25" w:name="_Toc10984"/>
      <w:bookmarkEnd w:id="25"/>
      <w:bookmarkStart w:id="26" w:name="_Toc15981"/>
      <w:bookmarkEnd w:id="26"/>
      <w:bookmarkStart w:id="27" w:name="_Toc28459"/>
      <w:bookmarkEnd w:id="27"/>
      <w:bookmarkStart w:id="28" w:name="_Toc31298"/>
      <w:bookmarkEnd w:id="28"/>
      <w:bookmarkStart w:id="29" w:name="_Toc88328830"/>
      <w:bookmarkStart w:id="30" w:name="_Toc29456"/>
    </w:p>
    <w:p>
      <w:pPr>
        <w:pStyle w:val="26"/>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1.</w:t>
      </w:r>
      <w:r>
        <w:rPr>
          <w:rFonts w:hint="eastAsia" w:ascii="方正仿宋简体" w:hAnsi="宋体" w:eastAsia="方正仿宋简体"/>
          <w:color w:val="auto"/>
          <w:sz w:val="24"/>
          <w:szCs w:val="24"/>
        </w:rPr>
        <w:t>提供</w:t>
      </w:r>
      <w:r>
        <w:rPr>
          <w:rFonts w:hint="eastAsia" w:ascii="方正仿宋简体" w:hAnsi="宋体" w:eastAsia="方正仿宋简体"/>
          <w:b/>
          <w:bCs/>
          <w:color w:val="auto"/>
          <w:sz w:val="24"/>
          <w:szCs w:val="24"/>
        </w:rPr>
        <w:t>产品说明书</w:t>
      </w:r>
      <w:r>
        <w:rPr>
          <w:rFonts w:hint="eastAsia" w:ascii="方正仿宋简体" w:hAnsi="宋体" w:eastAsia="方正仿宋简体"/>
          <w:color w:val="auto"/>
          <w:sz w:val="24"/>
          <w:szCs w:val="24"/>
        </w:rPr>
        <w:t>或与</w:t>
      </w:r>
      <w:r>
        <w:rPr>
          <w:rFonts w:hint="eastAsia" w:ascii="方正仿宋简体" w:hAnsi="宋体" w:eastAsia="方正仿宋简体"/>
          <w:b/>
          <w:bCs/>
          <w:color w:val="auto"/>
          <w:sz w:val="24"/>
          <w:szCs w:val="24"/>
        </w:rPr>
        <w:t>投标医疗器械型号一致的产品彩页资料、厂家出具的技术白皮书</w:t>
      </w:r>
      <w:r>
        <w:rPr>
          <w:rFonts w:hint="eastAsia" w:ascii="方正仿宋简体" w:hAnsi="宋体" w:eastAsia="方正仿宋简体"/>
          <w:color w:val="auto"/>
          <w:sz w:val="24"/>
          <w:szCs w:val="24"/>
        </w:rPr>
        <w:t>和其他有关介绍资料。</w:t>
      </w:r>
    </w:p>
    <w:p>
      <w:pPr>
        <w:pStyle w:val="26"/>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2.</w:t>
      </w:r>
      <w:r>
        <w:rPr>
          <w:rFonts w:hint="eastAsia" w:ascii="方正仿宋简体" w:hAnsi="宋体" w:eastAsia="方正仿宋简体"/>
          <w:color w:val="auto"/>
          <w:sz w:val="24"/>
          <w:szCs w:val="24"/>
        </w:rPr>
        <w:t>如有产品质量和企业管理体系认证（考核），请提供的有效证明文件的复印或扫描件，质量管理体系认证包括CFDA、FDA、CE、ISO等认证（提供中文翻译复印件）</w:t>
      </w:r>
    </w:p>
    <w:p>
      <w:pPr>
        <w:pStyle w:val="26"/>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3.</w:t>
      </w:r>
      <w:r>
        <w:rPr>
          <w:rFonts w:hint="eastAsia" w:ascii="方正仿宋简体" w:hAnsi="宋体" w:eastAsia="方正仿宋简体"/>
          <w:color w:val="auto"/>
          <w:sz w:val="24"/>
          <w:szCs w:val="24"/>
        </w:rPr>
        <w:t>如有检测报告，请提供质量检测中心或法定机构出具的产品检测报告，性能自测报告，出厂检验报告的复印或扫描件。</w:t>
      </w:r>
    </w:p>
    <w:p>
      <w:pPr>
        <w:pStyle w:val="26"/>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4.</w:t>
      </w:r>
      <w:r>
        <w:rPr>
          <w:rFonts w:hint="eastAsia" w:ascii="方正仿宋简体" w:hAnsi="宋体" w:eastAsia="方正仿宋简体"/>
          <w:color w:val="auto"/>
          <w:sz w:val="24"/>
          <w:szCs w:val="24"/>
        </w:rPr>
        <w:t>如有其他证书：产品在技术、节能、安全、环保和自主创新方面获得的认证证书或制造厂家和产品所获国家级荣誉称号等复印或扫描件。</w:t>
      </w:r>
    </w:p>
    <w:p>
      <w:pPr>
        <w:pStyle w:val="26"/>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5.</w:t>
      </w:r>
      <w:r>
        <w:rPr>
          <w:rFonts w:hint="eastAsia" w:ascii="方正仿宋简体" w:hAnsi="宋体" w:eastAsia="方正仿宋简体"/>
          <w:color w:val="auto"/>
          <w:sz w:val="24"/>
          <w:szCs w:val="24"/>
        </w:rPr>
        <w:t>产品执行标准（提供产品注册标准：YZB等资料供评审）。</w:t>
      </w:r>
    </w:p>
    <w:p>
      <w:pPr>
        <w:pStyle w:val="4"/>
        <w:widowControl/>
        <w:autoSpaceDE w:val="0"/>
        <w:spacing w:before="0" w:after="0" w:line="360" w:lineRule="auto"/>
        <w:rPr>
          <w:rFonts w:ascii="黑体" w:hAnsi="黑体" w:eastAsia="黑体"/>
          <w:bCs w:val="0"/>
          <w:color w:val="auto"/>
        </w:rPr>
      </w:pPr>
      <w:bookmarkStart w:id="31" w:name="_Toc88328844"/>
      <w:r>
        <w:rPr>
          <w:rFonts w:hint="eastAsia" w:ascii="黑体" w:hAnsi="黑体" w:eastAsia="黑体"/>
          <w:bCs w:val="0"/>
          <w:color w:val="auto"/>
        </w:rPr>
        <w:t>售后服务</w:t>
      </w:r>
      <w:bookmarkEnd w:id="31"/>
    </w:p>
    <w:p>
      <w:pPr>
        <w:pStyle w:val="27"/>
        <w:ind w:firstLine="480" w:firstLineChars="200"/>
        <w:rPr>
          <w:rFonts w:ascii="方正仿宋简体" w:hAnsi="宋体" w:eastAsia="方正仿宋简体" w:cs="宋体"/>
          <w:color w:val="auto"/>
          <w:szCs w:val="24"/>
        </w:rPr>
      </w:pPr>
      <w:r>
        <w:rPr>
          <w:rFonts w:hint="eastAsia" w:ascii="方正仿宋简体" w:hAnsi="宋体" w:eastAsia="方正仿宋简体" w:cs="宋体"/>
          <w:color w:val="auto"/>
          <w:szCs w:val="24"/>
        </w:rPr>
        <w:t>此部分不提供格式，由响应人根据采购人要求及自身实际情况自行填写。</w:t>
      </w:r>
    </w:p>
    <w:p>
      <w:pPr>
        <w:pStyle w:val="27"/>
        <w:rPr>
          <w:rFonts w:ascii="方正仿宋简体" w:hAnsi="宋体" w:eastAsia="方正仿宋简体" w:cs="宋体"/>
          <w:color w:val="auto"/>
          <w:szCs w:val="24"/>
        </w:rPr>
      </w:pPr>
      <w:r>
        <w:rPr>
          <w:rFonts w:hint="eastAsia" w:ascii="方正仿宋简体" w:hAnsi="宋体" w:eastAsia="方正仿宋简体" w:cs="宋体"/>
          <w:color w:val="auto"/>
          <w:szCs w:val="24"/>
        </w:rPr>
        <w:t>内容包含</w:t>
      </w:r>
      <w:r>
        <w:rPr>
          <w:rFonts w:hint="eastAsia" w:ascii="方正仿宋简体" w:hAnsi="宋体" w:eastAsia="方正仿宋简体" w:cs="宋体"/>
          <w:b/>
          <w:bCs/>
          <w:color w:val="auto"/>
          <w:szCs w:val="24"/>
        </w:rPr>
        <w:t>质保期（自验收合格之日起）、故障响应时间、故障响应后到达现场服务时间、巡检、保养维护周期、培训方案等</w:t>
      </w:r>
      <w:r>
        <w:rPr>
          <w:rFonts w:hint="eastAsia" w:ascii="方正仿宋简体" w:hAnsi="宋体" w:eastAsia="方正仿宋简体" w:cs="宋体"/>
          <w:color w:val="auto"/>
          <w:szCs w:val="24"/>
        </w:rPr>
        <w:t>。</w:t>
      </w:r>
    </w:p>
    <w:p>
      <w:pPr>
        <w:pStyle w:val="4"/>
        <w:widowControl/>
        <w:autoSpaceDE w:val="0"/>
        <w:spacing w:before="0" w:after="0" w:line="360" w:lineRule="auto"/>
        <w:ind w:firstLine="640" w:firstLineChars="200"/>
        <w:rPr>
          <w:rFonts w:ascii="方正仿宋简体" w:hAnsi="宋体" w:eastAsia="方正仿宋简体"/>
          <w:color w:val="auto"/>
          <w:szCs w:val="28"/>
        </w:rPr>
        <w:sectPr>
          <w:pgSz w:w="11906" w:h="16838"/>
          <w:pgMar w:top="1191" w:right="1191" w:bottom="1191" w:left="1304" w:header="720" w:footer="720" w:gutter="0"/>
          <w:pgNumType w:fmt="numberInDash"/>
          <w:cols w:space="720" w:num="1"/>
          <w:docGrid w:type="lines" w:linePitch="317" w:charSpace="0"/>
        </w:sectPr>
      </w:pPr>
      <w:bookmarkStart w:id="32" w:name="_Toc11421569"/>
      <w:bookmarkStart w:id="33" w:name="_Toc88328849"/>
      <w:bookmarkStart w:id="34" w:name="_Toc28371023"/>
      <w:bookmarkStart w:id="35" w:name="_Toc76110522"/>
      <w:bookmarkStart w:id="36" w:name="_Toc14179344"/>
    </w:p>
    <w:bookmarkEnd w:id="32"/>
    <w:bookmarkEnd w:id="33"/>
    <w:bookmarkEnd w:id="34"/>
    <w:bookmarkEnd w:id="35"/>
    <w:bookmarkEnd w:id="36"/>
    <w:p>
      <w:pPr>
        <w:pStyle w:val="4"/>
        <w:widowControl/>
        <w:autoSpaceDE w:val="0"/>
        <w:spacing w:before="0" w:after="0" w:line="360" w:lineRule="auto"/>
        <w:rPr>
          <w:rFonts w:ascii="黑体" w:hAnsi="黑体" w:eastAsia="黑体"/>
          <w:bCs w:val="0"/>
          <w:color w:val="auto"/>
        </w:rPr>
      </w:pPr>
      <w:bookmarkStart w:id="37" w:name="_Toc88328851"/>
      <w:bookmarkStart w:id="38" w:name="_Toc76110521"/>
      <w:bookmarkStart w:id="39" w:name="_Toc14179341"/>
      <w:bookmarkStart w:id="40" w:name="_Toc28371020"/>
      <w:bookmarkStart w:id="41" w:name="_Toc11421566"/>
      <w:r>
        <w:rPr>
          <w:rFonts w:hint="eastAsia" w:ascii="黑体" w:hAnsi="黑体" w:eastAsia="黑体"/>
          <w:bCs w:val="0"/>
          <w:color w:val="auto"/>
        </w:rPr>
        <w:t>履约承诺书</w:t>
      </w:r>
      <w:bookmarkEnd w:id="37"/>
      <w:bookmarkEnd w:id="38"/>
      <w:bookmarkEnd w:id="39"/>
      <w:bookmarkEnd w:id="40"/>
      <w:bookmarkEnd w:id="41"/>
    </w:p>
    <w:p>
      <w:pPr>
        <w:snapToGrid w:val="0"/>
        <w:spacing w:line="480" w:lineRule="exact"/>
        <w:ind w:right="56" w:firstLine="555"/>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我单位承诺：</w:t>
      </w:r>
    </w:p>
    <w:p>
      <w:pPr>
        <w:snapToGrid w:val="0"/>
        <w:spacing w:line="480" w:lineRule="exact"/>
        <w:ind w:firstLine="555"/>
        <w:rPr>
          <w:rFonts w:ascii="方正仿宋简体" w:hAnsi="宋体" w:eastAsia="方正仿宋简体"/>
          <w:color w:val="auto"/>
          <w:sz w:val="24"/>
          <w:szCs w:val="24"/>
        </w:rPr>
      </w:pPr>
      <w:r>
        <w:rPr>
          <w:rFonts w:hint="eastAsia" w:ascii="方正仿宋简体" w:hAnsi="宋体" w:eastAsia="方正仿宋简体"/>
          <w:color w:val="auto"/>
          <w:sz w:val="24"/>
          <w:szCs w:val="24"/>
        </w:rPr>
        <w:t>(一)我单位已详细阅读并完全理解、同意采购公告附件中采购需求的全部内容，包括修改补充文件以及全部参考资料和有关附件；我单位将严格按采购人确定的技术及商务要求等履行响应承诺；</w:t>
      </w:r>
    </w:p>
    <w:p>
      <w:pPr>
        <w:snapToGrid w:val="0"/>
        <w:spacing w:line="480" w:lineRule="exact"/>
        <w:ind w:firstLine="555"/>
        <w:rPr>
          <w:rFonts w:ascii="方正仿宋简体" w:hAnsi="宋体" w:eastAsia="方正仿宋简体"/>
          <w:color w:val="auto"/>
          <w:sz w:val="24"/>
          <w:szCs w:val="24"/>
        </w:rPr>
      </w:pPr>
      <w:r>
        <w:rPr>
          <w:rFonts w:hint="eastAsia" w:ascii="方正仿宋简体" w:hAnsi="宋体" w:eastAsia="方正仿宋简体"/>
          <w:color w:val="auto"/>
          <w:sz w:val="24"/>
          <w:szCs w:val="24"/>
        </w:rPr>
        <w:t>(二)按采购要求编制响应报价；我单位的响应报价包括《采购文件》所述报价组成的所有内容、并包括采购需求未列明而与采购项目相关的、必须的所有款项及费用等达到交付使用及验收条件的所有一切风险、责任和义务的费用；我单位保证按采购需求要求及响应承诺的质量诚信履约。</w:t>
      </w:r>
    </w:p>
    <w:p>
      <w:pPr>
        <w:pStyle w:val="2"/>
        <w:ind w:firstLine="240" w:firstLineChars="100"/>
        <w:rPr>
          <w:rFonts w:ascii="方正仿宋简体" w:hAnsi="宋体" w:eastAsia="方正仿宋简体"/>
          <w:color w:val="auto"/>
          <w:kern w:val="0"/>
          <w:sz w:val="24"/>
        </w:rPr>
      </w:pPr>
      <w:r>
        <w:rPr>
          <w:rFonts w:hint="eastAsia" w:ascii="方正仿宋简体" w:hAnsi="宋体" w:eastAsia="方正仿宋简体"/>
          <w:color w:val="auto"/>
          <w:kern w:val="0"/>
          <w:sz w:val="24"/>
        </w:rPr>
        <w:t>（三）我单位保证所投产品为</w:t>
      </w:r>
      <w:r>
        <w:rPr>
          <w:rFonts w:hint="eastAsia" w:ascii="方正仿宋简体" w:hAnsi="宋体" w:eastAsia="方正仿宋简体"/>
          <w:color w:val="auto"/>
          <w:kern w:val="0"/>
          <w:sz w:val="24"/>
          <w:lang w:val="en-US" w:eastAsia="zh-CN"/>
        </w:rPr>
        <w:t>市场准入产品，产品验收时出具产品检测报告</w:t>
      </w:r>
      <w:r>
        <w:rPr>
          <w:rFonts w:hint="eastAsia" w:ascii="方正仿宋简体" w:hAnsi="宋体" w:eastAsia="方正仿宋简体"/>
          <w:color w:val="auto"/>
          <w:kern w:val="0"/>
          <w:sz w:val="24"/>
        </w:rPr>
        <w:t>。</w:t>
      </w:r>
    </w:p>
    <w:p>
      <w:pPr>
        <w:tabs>
          <w:tab w:val="left" w:pos="9354"/>
        </w:tabs>
        <w:snapToGrid w:val="0"/>
        <w:spacing w:line="480" w:lineRule="exact"/>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四)我单位保证在采购需求要求的时间内按期、保质完成中标项目。如我单位中标，将在接到中标通知后，积极、主动的与采购单位联系合同签订，合同签订中如有任何的问题，我单位保证及时书面反映情况，否则视为我单位责任、按违约处理。</w:t>
      </w:r>
    </w:p>
    <w:p>
      <w:pPr>
        <w:tabs>
          <w:tab w:val="left" w:pos="9354"/>
        </w:tabs>
        <w:snapToGrid w:val="0"/>
        <w:spacing w:line="480" w:lineRule="exact"/>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五)除法律规定的不可抗力因素外，我单位中标后以任何理由(包括违背上述承诺的事项)提出不能满足采购需求的技术、交货完工期等要求或不能实现响应承诺的或提出变更的，我单位将无条件接受违约处理、并放弃我单位中标资格。我单位知悉违约责任及其处理，并无条件接受；给采购单位及他人造成损失的，承担相应的赔偿责任。</w:t>
      </w:r>
    </w:p>
    <w:p>
      <w:pPr>
        <w:tabs>
          <w:tab w:val="left" w:pos="9354"/>
        </w:tabs>
        <w:snapToGrid w:val="0"/>
        <w:spacing w:line="480" w:lineRule="exact"/>
        <w:ind w:firstLine="480" w:firstLineChars="200"/>
        <w:rPr>
          <w:rFonts w:ascii="方正仿宋简体" w:hAnsi="宋体" w:eastAsia="方正仿宋简体"/>
          <w:color w:val="auto"/>
          <w:sz w:val="24"/>
          <w:szCs w:val="24"/>
        </w:rPr>
      </w:pPr>
    </w:p>
    <w:p>
      <w:pPr>
        <w:rPr>
          <w:rFonts w:ascii="方正仿宋简体" w:eastAsia="方正仿宋简体"/>
          <w:color w:val="auto"/>
        </w:rPr>
      </w:pPr>
    </w:p>
    <w:p>
      <w:pPr>
        <w:spacing w:before="158" w:beforeLines="50" w:line="360" w:lineRule="auto"/>
        <w:ind w:firstLine="720" w:firstLineChars="300"/>
        <w:rPr>
          <w:rFonts w:ascii="方正仿宋简体" w:hAnsi="宋体" w:eastAsia="方正仿宋简体"/>
          <w:color w:val="auto"/>
          <w:sz w:val="24"/>
          <w:szCs w:val="24"/>
        </w:rPr>
      </w:pPr>
    </w:p>
    <w:p>
      <w:pPr>
        <w:pStyle w:val="2"/>
        <w:rPr>
          <w:rFonts w:ascii="方正仿宋简体" w:eastAsia="方正仿宋简体"/>
          <w:color w:val="auto"/>
        </w:rPr>
      </w:pPr>
    </w:p>
    <w:p>
      <w:pPr>
        <w:ind w:firstLine="1681" w:firstLineChars="600"/>
        <w:rPr>
          <w:rFonts w:ascii="方正仿宋简体" w:hAnsi="宋体" w:eastAsia="方正仿宋简体"/>
          <w:b/>
          <w:color w:val="auto"/>
          <w:sz w:val="28"/>
          <w:szCs w:val="28"/>
        </w:rPr>
      </w:pPr>
      <w:r>
        <w:rPr>
          <w:rFonts w:hint="eastAsia" w:ascii="方正仿宋简体" w:hAnsi="宋体" w:eastAsia="方正仿宋简体"/>
          <w:b/>
          <w:color w:val="auto"/>
          <w:sz w:val="28"/>
          <w:szCs w:val="28"/>
        </w:rPr>
        <w:t>响应人：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(填写并盖章)</w:t>
      </w:r>
    </w:p>
    <w:p>
      <w:pPr>
        <w:ind w:firstLine="1401" w:firstLineChars="500"/>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pPr>
        <w:pStyle w:val="2"/>
        <w:ind w:firstLine="1681" w:firstLineChars="600"/>
        <w:rPr>
          <w:rFonts w:ascii="方正仿宋简体" w:eastAsia="方正仿宋简体"/>
          <w:color w:val="auto"/>
        </w:rPr>
        <w:sectPr>
          <w:footerReference r:id="rId4" w:type="default"/>
          <w:pgSz w:w="11906" w:h="16838"/>
          <w:pgMar w:top="1191" w:right="1191" w:bottom="1191" w:left="1304" w:header="720" w:footer="720" w:gutter="0"/>
          <w:pgNumType w:fmt="numberInDash"/>
          <w:cols w:space="720" w:num="1"/>
          <w:docGrid w:type="lines" w:linePitch="317" w:charSpace="0"/>
        </w:sect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bookmarkEnd w:id="29"/>
      <w:bookmarkEnd w:id="30"/>
    </w:p>
    <w:p>
      <w:pPr>
        <w:rPr>
          <w:rFonts w:ascii="方正仿宋简体" w:hAnsi="宋体" w:eastAsia="方正仿宋简体"/>
          <w:color w:val="auto"/>
          <w:sz w:val="24"/>
          <w:u w:val="single"/>
        </w:rPr>
      </w:pPr>
    </w:p>
    <w:p>
      <w:pPr>
        <w:pStyle w:val="4"/>
        <w:widowControl/>
        <w:autoSpaceDE w:val="0"/>
        <w:spacing w:before="0" w:after="0" w:line="240" w:lineRule="auto"/>
        <w:ind w:firstLine="643" w:firstLineChars="200"/>
        <w:rPr>
          <w:rFonts w:ascii="黑体" w:hAnsi="黑体" w:eastAsia="黑体"/>
          <w:bCs w:val="0"/>
          <w:color w:val="auto"/>
        </w:rPr>
      </w:pPr>
      <w:bookmarkStart w:id="42" w:name="_Toc88328852"/>
      <w:bookmarkStart w:id="43" w:name="_Toc28371027"/>
      <w:bookmarkStart w:id="44" w:name="_Toc14179348"/>
      <w:bookmarkStart w:id="45" w:name="_Toc76110526"/>
      <w:r>
        <w:rPr>
          <w:rFonts w:hint="eastAsia" w:ascii="黑体" w:hAnsi="黑体" w:eastAsia="黑体"/>
          <w:bCs w:val="0"/>
          <w:color w:val="auto"/>
        </w:rPr>
        <w:t>其他资料</w:t>
      </w:r>
      <w:bookmarkEnd w:id="42"/>
      <w:bookmarkEnd w:id="43"/>
      <w:bookmarkEnd w:id="44"/>
      <w:bookmarkEnd w:id="45"/>
    </w:p>
    <w:p>
      <w:pPr>
        <w:spacing w:before="120" w:beforeLines="50" w:line="360" w:lineRule="auto"/>
        <w:ind w:firstLine="720" w:firstLineChars="3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(一)响应人能享受政策优惠的证明材料</w:t>
      </w:r>
    </w:p>
    <w:p>
      <w:pPr>
        <w:spacing w:before="120" w:beforeLines="50" w:line="360" w:lineRule="auto"/>
        <w:ind w:firstLine="720" w:firstLineChars="3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(二)响应人认为需要提交的其他资料</w:t>
      </w:r>
    </w:p>
    <w:p>
      <w:pPr>
        <w:spacing w:before="120" w:beforeLines="50" w:line="360" w:lineRule="auto"/>
        <w:ind w:firstLine="720" w:firstLineChars="300"/>
        <w:rPr>
          <w:rFonts w:ascii="方正仿宋简体" w:hAnsi="宋体" w:eastAsia="方正仿宋简体" w:cs="宋体"/>
          <w:color w:val="auto"/>
          <w:sz w:val="24"/>
          <w:szCs w:val="24"/>
        </w:rPr>
      </w:pPr>
    </w:p>
    <w:p>
      <w:pPr>
        <w:pStyle w:val="4"/>
        <w:widowControl/>
        <w:autoSpaceDE w:val="0"/>
        <w:spacing w:before="0" w:after="0" w:line="240" w:lineRule="auto"/>
        <w:ind w:firstLine="643" w:firstLineChars="200"/>
        <w:rPr>
          <w:rFonts w:ascii="黑体" w:hAnsi="黑体" w:eastAsia="黑体"/>
          <w:bCs w:val="0"/>
          <w:color w:val="auto"/>
        </w:rPr>
      </w:pPr>
      <w:r>
        <w:rPr>
          <w:rFonts w:hint="eastAsia" w:ascii="黑体" w:hAnsi="黑体" w:eastAsia="黑体"/>
          <w:bCs w:val="0"/>
          <w:color w:val="auto"/>
        </w:rPr>
        <w:t>中小企业声明函(货物)</w:t>
      </w:r>
    </w:p>
    <w:p>
      <w:pPr>
        <w:spacing w:line="480" w:lineRule="auto"/>
        <w:ind w:firstLine="480" w:firstLineChars="200"/>
        <w:rPr>
          <w:rFonts w:ascii="方正仿宋简体" w:hAnsi="宋体" w:eastAsia="方正仿宋简体" w:cs="宋体"/>
          <w:color w:val="auto"/>
          <w:sz w:val="24"/>
          <w:szCs w:val="24"/>
          <w:shd w:val="clear" w:color="auto" w:fill="FFFFFF"/>
        </w:rPr>
      </w:pPr>
      <w:r>
        <w:rPr>
          <w:rFonts w:hint="eastAsia" w:ascii="方正仿宋简体" w:hAnsi="宋体" w:eastAsia="方正仿宋简体" w:cs="宋体"/>
          <w:color w:val="auto"/>
          <w:sz w:val="24"/>
          <w:szCs w:val="24"/>
          <w:shd w:val="clear" w:color="auto" w:fill="FFFFFF"/>
        </w:rPr>
        <w:t xml:space="preserve"> 本公司郑重声明，根据《政府采购促进中小企业发展管理办法》(财库( 2020 )46号)的规定，本公司参加</w:t>
      </w:r>
      <w:r>
        <w:rPr>
          <w:rFonts w:hint="eastAsia" w:ascii="方正仿宋简体" w:hAnsi="宋体" w:eastAsia="方正仿宋简体" w:cs="宋体"/>
          <w:color w:val="auto"/>
          <w:sz w:val="24"/>
          <w:szCs w:val="24"/>
          <w:u w:val="single"/>
          <w:shd w:val="clear" w:color="auto" w:fill="FFFFFF"/>
        </w:rPr>
        <w:t xml:space="preserve">       (单位名称) </w:t>
      </w:r>
      <w:r>
        <w:rPr>
          <w:rFonts w:hint="eastAsia" w:ascii="方正仿宋简体" w:hAnsi="宋体" w:eastAsia="方正仿宋简体" w:cs="宋体"/>
          <w:color w:val="auto"/>
          <w:sz w:val="24"/>
          <w:szCs w:val="24"/>
          <w:shd w:val="clear" w:color="auto" w:fill="FFFFFF"/>
        </w:rPr>
        <w:t>的</w:t>
      </w:r>
      <w:r>
        <w:rPr>
          <w:rFonts w:hint="eastAsia" w:ascii="方正仿宋简体" w:hAnsi="宋体" w:eastAsia="方正仿宋简体" w:cs="宋体"/>
          <w:color w:val="auto"/>
          <w:sz w:val="24"/>
          <w:szCs w:val="24"/>
          <w:u w:val="single"/>
          <w:shd w:val="clear" w:color="auto" w:fill="FFFFFF"/>
        </w:rPr>
        <w:t xml:space="preserve">    (项目名称)</w:t>
      </w:r>
      <w:r>
        <w:rPr>
          <w:rFonts w:hint="eastAsia" w:ascii="方正仿宋简体" w:hAnsi="宋体" w:eastAsia="方正仿宋简体" w:cs="宋体"/>
          <w:color w:val="auto"/>
          <w:sz w:val="24"/>
          <w:szCs w:val="24"/>
          <w:shd w:val="clear" w:color="auto" w:fill="FFFFFF"/>
        </w:rPr>
        <w:t>采购活动，提供的货物全部由符合政策要求的中小企业制造。</w:t>
      </w:r>
      <w:bookmarkStart w:id="46" w:name="_Toc12254"/>
      <w:bookmarkEnd w:id="46"/>
      <w:bookmarkStart w:id="47" w:name="_Toc468"/>
      <w:bookmarkEnd w:id="47"/>
    </w:p>
    <w:p>
      <w:pPr>
        <w:pStyle w:val="2"/>
        <w:rPr>
          <w:rFonts w:ascii="方正仿宋简体" w:eastAsia="方正仿宋简体"/>
          <w:color w:val="auto"/>
        </w:rPr>
      </w:pPr>
      <w:r>
        <w:rPr>
          <w:rFonts w:hint="eastAsia" w:ascii="方正仿宋简体" w:eastAsia="方正仿宋简体"/>
          <w:color w:val="auto"/>
        </w:rPr>
        <w:t>本企业对上述声明内容的真实性负责。如有虛假，将依法承担相应责任。</w:t>
      </w:r>
    </w:p>
    <w:p>
      <w:pPr>
        <w:pStyle w:val="2"/>
        <w:rPr>
          <w:rFonts w:ascii="方正仿宋简体" w:eastAsia="方正仿宋简体"/>
          <w:color w:val="auto"/>
        </w:rPr>
      </w:pPr>
    </w:p>
    <w:p>
      <w:pPr>
        <w:pStyle w:val="2"/>
        <w:rPr>
          <w:rFonts w:ascii="方正仿宋简体" w:eastAsia="方正仿宋简体"/>
          <w:color w:val="auto"/>
        </w:rPr>
      </w:pPr>
    </w:p>
    <w:p>
      <w:pPr>
        <w:pStyle w:val="2"/>
        <w:ind w:firstLine="4935" w:firstLineChars="2350"/>
        <w:rPr>
          <w:rFonts w:ascii="方正仿宋简体" w:eastAsia="方正仿宋简体"/>
          <w:color w:val="auto"/>
        </w:rPr>
      </w:pPr>
      <w:r>
        <w:rPr>
          <w:rFonts w:hint="eastAsia" w:ascii="方正仿宋简体" w:eastAsia="方正仿宋简体"/>
          <w:color w:val="auto"/>
        </w:rPr>
        <w:t>企业名称(填写并盖章):</w:t>
      </w:r>
    </w:p>
    <w:p>
      <w:pPr>
        <w:pStyle w:val="2"/>
        <w:ind w:firstLine="5040" w:firstLineChars="2400"/>
        <w:rPr>
          <w:rFonts w:ascii="方正仿宋简体" w:eastAsia="方正仿宋简体"/>
          <w:color w:val="auto"/>
        </w:rPr>
      </w:pPr>
      <w:r>
        <w:rPr>
          <w:rFonts w:hint="eastAsia" w:ascii="方正仿宋简体" w:eastAsia="方正仿宋简体"/>
          <w:color w:val="auto"/>
        </w:rPr>
        <w:t>日 期:</w:t>
      </w: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color w:val="auto"/>
          <w:sz w:val="28"/>
          <w:szCs w:val="28"/>
        </w:rPr>
      </w:pPr>
      <w:r>
        <w:rPr>
          <w:rFonts w:hint="eastAsia" w:ascii="黑体" w:hAnsi="黑体" w:eastAsia="黑体"/>
          <w:b/>
          <w:bCs/>
          <w:color w:val="auto"/>
          <w:sz w:val="28"/>
          <w:szCs w:val="28"/>
        </w:rPr>
        <w:t>注：请务必按以上顺序装订资料，如有非中文资料，请同时提供中文翻译件。</w:t>
      </w:r>
    </w:p>
    <w:p>
      <w:pPr>
        <w:pStyle w:val="2"/>
        <w:rPr>
          <w:rFonts w:ascii="方正仿宋简体" w:eastAsia="方正仿宋简体"/>
          <w:color w:val="auto"/>
        </w:rPr>
      </w:pPr>
    </w:p>
    <w:p>
      <w:pPr>
        <w:pStyle w:val="10"/>
        <w:ind w:firstLine="560"/>
        <w:rPr>
          <w:color w:val="auto"/>
          <w:lang w:val="en-US"/>
        </w:rPr>
      </w:pPr>
    </w:p>
    <w:sectPr>
      <w:headerReference r:id="rId5" w:type="default"/>
      <w:footerReference r:id="rId6" w:type="default"/>
      <w:pgSz w:w="11906" w:h="16838"/>
      <w:pgMar w:top="1191" w:right="1191" w:bottom="1191" w:left="1304" w:header="720" w:footer="720" w:gutter="0"/>
      <w:pgNumType w:fmt="numberInDash"/>
      <w:cols w:space="720" w:num="1"/>
      <w:docGrid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仿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p>
    <w:pPr>
      <w:pStyle w:val="8"/>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FB6DA1"/>
    <w:multiLevelType w:val="singleLevel"/>
    <w:tmpl w:val="01FB6DA1"/>
    <w:lvl w:ilvl="0" w:tentative="0">
      <w:start w:val="4"/>
      <w:numFmt w:val="chineseCounting"/>
      <w:suff w:val="nothing"/>
      <w:lvlText w:val="%1、"/>
      <w:lvlJc w:val="left"/>
      <w:rPr>
        <w:rFonts w:hint="eastAsia"/>
      </w:rPr>
    </w:lvl>
  </w:abstractNum>
  <w:abstractNum w:abstractNumId="1">
    <w:nsid w:val="5E4FE5CA"/>
    <w:multiLevelType w:val="singleLevel"/>
    <w:tmpl w:val="5E4FE5CA"/>
    <w:lvl w:ilvl="0" w:tentative="0">
      <w:start w:val="1"/>
      <w:numFmt w:val="decimal"/>
      <w:lvlText w:val="%1."/>
      <w:lvlJc w:val="left"/>
      <w:pPr>
        <w:tabs>
          <w:tab w:val="left" w:pos="312"/>
        </w:tabs>
      </w:pPr>
      <w:rPr>
        <w:rFonts w:hint="default"/>
        <w:color w:val="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hhOTRlNzQ3ZWEzZDE4Yjc5ZDE0ZTBmNzViZmQ0MjgifQ=="/>
  </w:docVars>
  <w:rsids>
    <w:rsidRoot w:val="00085C6C"/>
    <w:rsid w:val="00015B3C"/>
    <w:rsid w:val="00022E1D"/>
    <w:rsid w:val="00047348"/>
    <w:rsid w:val="00050C4E"/>
    <w:rsid w:val="00085C6C"/>
    <w:rsid w:val="000A005D"/>
    <w:rsid w:val="000A2C21"/>
    <w:rsid w:val="0010181E"/>
    <w:rsid w:val="00132F4A"/>
    <w:rsid w:val="00156B42"/>
    <w:rsid w:val="00167F79"/>
    <w:rsid w:val="00176F0E"/>
    <w:rsid w:val="001A136D"/>
    <w:rsid w:val="001A6287"/>
    <w:rsid w:val="001E57FF"/>
    <w:rsid w:val="00217747"/>
    <w:rsid w:val="0025332E"/>
    <w:rsid w:val="002900AC"/>
    <w:rsid w:val="0032260B"/>
    <w:rsid w:val="00345147"/>
    <w:rsid w:val="00357DE9"/>
    <w:rsid w:val="00372460"/>
    <w:rsid w:val="003844D3"/>
    <w:rsid w:val="00545CE4"/>
    <w:rsid w:val="00793A9A"/>
    <w:rsid w:val="007C4C7B"/>
    <w:rsid w:val="007E1419"/>
    <w:rsid w:val="00941B30"/>
    <w:rsid w:val="009B3A7C"/>
    <w:rsid w:val="009B6C22"/>
    <w:rsid w:val="00A0455D"/>
    <w:rsid w:val="00A27FE9"/>
    <w:rsid w:val="00A3367C"/>
    <w:rsid w:val="00A6621C"/>
    <w:rsid w:val="00AA54BB"/>
    <w:rsid w:val="00B11D92"/>
    <w:rsid w:val="00B35F34"/>
    <w:rsid w:val="00B6067E"/>
    <w:rsid w:val="00C002AC"/>
    <w:rsid w:val="00C362C0"/>
    <w:rsid w:val="00C6410E"/>
    <w:rsid w:val="00C77B2E"/>
    <w:rsid w:val="00C85E5B"/>
    <w:rsid w:val="00C91FD7"/>
    <w:rsid w:val="00CA49E6"/>
    <w:rsid w:val="00D3488E"/>
    <w:rsid w:val="00E12BDD"/>
    <w:rsid w:val="00E27C90"/>
    <w:rsid w:val="00E37075"/>
    <w:rsid w:val="00EE1AC3"/>
    <w:rsid w:val="00F12BFB"/>
    <w:rsid w:val="00FC43A7"/>
    <w:rsid w:val="00FD2D06"/>
    <w:rsid w:val="00FF1179"/>
    <w:rsid w:val="013C5C57"/>
    <w:rsid w:val="01803C7A"/>
    <w:rsid w:val="021F19C5"/>
    <w:rsid w:val="031E1E6F"/>
    <w:rsid w:val="032B7300"/>
    <w:rsid w:val="03E5533B"/>
    <w:rsid w:val="046123CF"/>
    <w:rsid w:val="04D01E6D"/>
    <w:rsid w:val="04D842B7"/>
    <w:rsid w:val="051037CE"/>
    <w:rsid w:val="054E5960"/>
    <w:rsid w:val="055779FB"/>
    <w:rsid w:val="058D1D4D"/>
    <w:rsid w:val="05AD74BE"/>
    <w:rsid w:val="05E53104"/>
    <w:rsid w:val="06155045"/>
    <w:rsid w:val="06371638"/>
    <w:rsid w:val="067F0363"/>
    <w:rsid w:val="06F27056"/>
    <w:rsid w:val="076E7576"/>
    <w:rsid w:val="076F7F9C"/>
    <w:rsid w:val="077258A7"/>
    <w:rsid w:val="08584C2F"/>
    <w:rsid w:val="085D6CDE"/>
    <w:rsid w:val="089709E2"/>
    <w:rsid w:val="08C71885"/>
    <w:rsid w:val="08D22839"/>
    <w:rsid w:val="08F165BE"/>
    <w:rsid w:val="08FC09EF"/>
    <w:rsid w:val="090126CD"/>
    <w:rsid w:val="09D90191"/>
    <w:rsid w:val="09E62501"/>
    <w:rsid w:val="09FE2152"/>
    <w:rsid w:val="0A465173"/>
    <w:rsid w:val="0A6A094E"/>
    <w:rsid w:val="0A764D84"/>
    <w:rsid w:val="0B622528"/>
    <w:rsid w:val="0BBB53C7"/>
    <w:rsid w:val="0BD37BEA"/>
    <w:rsid w:val="0C0367D4"/>
    <w:rsid w:val="0C0D2E3A"/>
    <w:rsid w:val="0C3A71BE"/>
    <w:rsid w:val="0C6D6CF7"/>
    <w:rsid w:val="0CE54226"/>
    <w:rsid w:val="0DD31CB1"/>
    <w:rsid w:val="0EC11F01"/>
    <w:rsid w:val="0F463291"/>
    <w:rsid w:val="0F7223D5"/>
    <w:rsid w:val="0F992572"/>
    <w:rsid w:val="0FBD1645"/>
    <w:rsid w:val="0FE07C10"/>
    <w:rsid w:val="0FE91C8E"/>
    <w:rsid w:val="103702FC"/>
    <w:rsid w:val="104D0216"/>
    <w:rsid w:val="10767658"/>
    <w:rsid w:val="107848E9"/>
    <w:rsid w:val="10B6533E"/>
    <w:rsid w:val="10F32CA5"/>
    <w:rsid w:val="11210C9A"/>
    <w:rsid w:val="125A6454"/>
    <w:rsid w:val="13D8691B"/>
    <w:rsid w:val="13F168F1"/>
    <w:rsid w:val="14046FFB"/>
    <w:rsid w:val="147C7437"/>
    <w:rsid w:val="14DF288C"/>
    <w:rsid w:val="14EC3B8F"/>
    <w:rsid w:val="154225F1"/>
    <w:rsid w:val="15665643"/>
    <w:rsid w:val="156F73CB"/>
    <w:rsid w:val="15823658"/>
    <w:rsid w:val="158C742F"/>
    <w:rsid w:val="15C17447"/>
    <w:rsid w:val="16300582"/>
    <w:rsid w:val="1653667F"/>
    <w:rsid w:val="16683FB7"/>
    <w:rsid w:val="1692327D"/>
    <w:rsid w:val="17207F4A"/>
    <w:rsid w:val="175B68F9"/>
    <w:rsid w:val="179B2873"/>
    <w:rsid w:val="17C34668"/>
    <w:rsid w:val="17C865BF"/>
    <w:rsid w:val="17D63E59"/>
    <w:rsid w:val="187379A1"/>
    <w:rsid w:val="18912D32"/>
    <w:rsid w:val="18CD73F6"/>
    <w:rsid w:val="18EB7DE0"/>
    <w:rsid w:val="19130894"/>
    <w:rsid w:val="195B54BE"/>
    <w:rsid w:val="19695E4A"/>
    <w:rsid w:val="19830B16"/>
    <w:rsid w:val="19C922D1"/>
    <w:rsid w:val="1A6A7EFD"/>
    <w:rsid w:val="1A946C8D"/>
    <w:rsid w:val="1AEE6D4E"/>
    <w:rsid w:val="1B931CF4"/>
    <w:rsid w:val="1C01310D"/>
    <w:rsid w:val="1C2E21DD"/>
    <w:rsid w:val="1CAB4E6A"/>
    <w:rsid w:val="1CC8061E"/>
    <w:rsid w:val="1D7D099A"/>
    <w:rsid w:val="1DA51DC6"/>
    <w:rsid w:val="1DD109C7"/>
    <w:rsid w:val="1E7E6171"/>
    <w:rsid w:val="1EFC18C3"/>
    <w:rsid w:val="1F4D3A2F"/>
    <w:rsid w:val="201A7874"/>
    <w:rsid w:val="20876299"/>
    <w:rsid w:val="209F504D"/>
    <w:rsid w:val="20A87593"/>
    <w:rsid w:val="21102ADC"/>
    <w:rsid w:val="211473C3"/>
    <w:rsid w:val="212322FC"/>
    <w:rsid w:val="2140010D"/>
    <w:rsid w:val="215E1CD3"/>
    <w:rsid w:val="22010CC7"/>
    <w:rsid w:val="22182E34"/>
    <w:rsid w:val="22C73E78"/>
    <w:rsid w:val="23EB1A07"/>
    <w:rsid w:val="247D4102"/>
    <w:rsid w:val="24805540"/>
    <w:rsid w:val="2483292D"/>
    <w:rsid w:val="252E3E2D"/>
    <w:rsid w:val="258629CB"/>
    <w:rsid w:val="25FB573C"/>
    <w:rsid w:val="26093003"/>
    <w:rsid w:val="263F07BA"/>
    <w:rsid w:val="26414A74"/>
    <w:rsid w:val="26A035C0"/>
    <w:rsid w:val="26FF03D3"/>
    <w:rsid w:val="2728720D"/>
    <w:rsid w:val="2793652C"/>
    <w:rsid w:val="28192888"/>
    <w:rsid w:val="289D4F51"/>
    <w:rsid w:val="28C167E7"/>
    <w:rsid w:val="28E805B2"/>
    <w:rsid w:val="296317BA"/>
    <w:rsid w:val="29BE3CF9"/>
    <w:rsid w:val="29E00F01"/>
    <w:rsid w:val="29EE6AA9"/>
    <w:rsid w:val="2A1713EB"/>
    <w:rsid w:val="2A1A23F0"/>
    <w:rsid w:val="2A4732FC"/>
    <w:rsid w:val="2ACB2492"/>
    <w:rsid w:val="2AFE7669"/>
    <w:rsid w:val="2B473F28"/>
    <w:rsid w:val="2B644B41"/>
    <w:rsid w:val="2B852A51"/>
    <w:rsid w:val="2B8839F3"/>
    <w:rsid w:val="2C1806ED"/>
    <w:rsid w:val="2C356E12"/>
    <w:rsid w:val="2C42562D"/>
    <w:rsid w:val="2C5B0A08"/>
    <w:rsid w:val="2CED69BB"/>
    <w:rsid w:val="2D1F5520"/>
    <w:rsid w:val="2D253156"/>
    <w:rsid w:val="2DB21C0D"/>
    <w:rsid w:val="2DC22E1C"/>
    <w:rsid w:val="2E33576B"/>
    <w:rsid w:val="2E4F6078"/>
    <w:rsid w:val="2E5F3B8E"/>
    <w:rsid w:val="2E820CB7"/>
    <w:rsid w:val="2EF2575F"/>
    <w:rsid w:val="2F2E1802"/>
    <w:rsid w:val="2F6D3D89"/>
    <w:rsid w:val="2F704961"/>
    <w:rsid w:val="30161655"/>
    <w:rsid w:val="306878A0"/>
    <w:rsid w:val="30781F04"/>
    <w:rsid w:val="310B4045"/>
    <w:rsid w:val="321B5D5C"/>
    <w:rsid w:val="32247CCA"/>
    <w:rsid w:val="326842A8"/>
    <w:rsid w:val="329A68BB"/>
    <w:rsid w:val="32C61DCD"/>
    <w:rsid w:val="33053BDE"/>
    <w:rsid w:val="33316B7B"/>
    <w:rsid w:val="33BF01E0"/>
    <w:rsid w:val="34083E14"/>
    <w:rsid w:val="349B22EB"/>
    <w:rsid w:val="34F90108"/>
    <w:rsid w:val="350A2746"/>
    <w:rsid w:val="35D51016"/>
    <w:rsid w:val="36F80398"/>
    <w:rsid w:val="36FE687E"/>
    <w:rsid w:val="372953B5"/>
    <w:rsid w:val="37B62020"/>
    <w:rsid w:val="37B8263C"/>
    <w:rsid w:val="37BE49B2"/>
    <w:rsid w:val="37C943ED"/>
    <w:rsid w:val="38162819"/>
    <w:rsid w:val="38270211"/>
    <w:rsid w:val="383F0322"/>
    <w:rsid w:val="385D50AC"/>
    <w:rsid w:val="386F0C54"/>
    <w:rsid w:val="38A15273"/>
    <w:rsid w:val="38C6556C"/>
    <w:rsid w:val="390212E2"/>
    <w:rsid w:val="391F2A31"/>
    <w:rsid w:val="39457BDA"/>
    <w:rsid w:val="394D5A3C"/>
    <w:rsid w:val="3A28169D"/>
    <w:rsid w:val="3A5A75A0"/>
    <w:rsid w:val="3B16715F"/>
    <w:rsid w:val="3B4D7AF1"/>
    <w:rsid w:val="3B5E124B"/>
    <w:rsid w:val="3B6160B7"/>
    <w:rsid w:val="3B6C3EFE"/>
    <w:rsid w:val="3B9127B5"/>
    <w:rsid w:val="3BCB75CA"/>
    <w:rsid w:val="3BD35022"/>
    <w:rsid w:val="3C205CCB"/>
    <w:rsid w:val="3C4825E1"/>
    <w:rsid w:val="3CC70E65"/>
    <w:rsid w:val="3CE01429"/>
    <w:rsid w:val="3D431CF3"/>
    <w:rsid w:val="3DCF3FEC"/>
    <w:rsid w:val="3E091B29"/>
    <w:rsid w:val="3E2B44CA"/>
    <w:rsid w:val="3E2E1FAC"/>
    <w:rsid w:val="3E747B53"/>
    <w:rsid w:val="3E9E58B1"/>
    <w:rsid w:val="3EA66010"/>
    <w:rsid w:val="3EBA0373"/>
    <w:rsid w:val="3EED7D9E"/>
    <w:rsid w:val="3F0A7637"/>
    <w:rsid w:val="3F2B0334"/>
    <w:rsid w:val="3FAB0F20"/>
    <w:rsid w:val="3FB32BFA"/>
    <w:rsid w:val="400310A4"/>
    <w:rsid w:val="402E538E"/>
    <w:rsid w:val="40590948"/>
    <w:rsid w:val="40E51DED"/>
    <w:rsid w:val="40FF5221"/>
    <w:rsid w:val="41062A32"/>
    <w:rsid w:val="413B65FC"/>
    <w:rsid w:val="414C7010"/>
    <w:rsid w:val="41610DB0"/>
    <w:rsid w:val="41772885"/>
    <w:rsid w:val="417B1CAC"/>
    <w:rsid w:val="41BD7B11"/>
    <w:rsid w:val="41C361A1"/>
    <w:rsid w:val="427A3CFA"/>
    <w:rsid w:val="43395335"/>
    <w:rsid w:val="43810955"/>
    <w:rsid w:val="43D84E2A"/>
    <w:rsid w:val="446C7BF6"/>
    <w:rsid w:val="44816361"/>
    <w:rsid w:val="449A4659"/>
    <w:rsid w:val="44B2766E"/>
    <w:rsid w:val="45110997"/>
    <w:rsid w:val="45BD57DB"/>
    <w:rsid w:val="46192E76"/>
    <w:rsid w:val="46CC1460"/>
    <w:rsid w:val="47175B10"/>
    <w:rsid w:val="47527812"/>
    <w:rsid w:val="47592A4A"/>
    <w:rsid w:val="47961C62"/>
    <w:rsid w:val="47C336E6"/>
    <w:rsid w:val="47EA6612"/>
    <w:rsid w:val="48007795"/>
    <w:rsid w:val="483B4C3C"/>
    <w:rsid w:val="48D92588"/>
    <w:rsid w:val="49BD54C6"/>
    <w:rsid w:val="4A3A683B"/>
    <w:rsid w:val="4AB37FB3"/>
    <w:rsid w:val="4B28395E"/>
    <w:rsid w:val="4BAD23F0"/>
    <w:rsid w:val="4C252442"/>
    <w:rsid w:val="4C2D3DF5"/>
    <w:rsid w:val="4C6D7D2A"/>
    <w:rsid w:val="4C9F022F"/>
    <w:rsid w:val="4CAF487E"/>
    <w:rsid w:val="4CC57BB7"/>
    <w:rsid w:val="4D1872AC"/>
    <w:rsid w:val="4D776DC4"/>
    <w:rsid w:val="4D7A4696"/>
    <w:rsid w:val="4D8F08E6"/>
    <w:rsid w:val="4DB52C26"/>
    <w:rsid w:val="4DE86E56"/>
    <w:rsid w:val="4DF85902"/>
    <w:rsid w:val="4E004B93"/>
    <w:rsid w:val="4E054225"/>
    <w:rsid w:val="4E6B36C7"/>
    <w:rsid w:val="4F7A38B3"/>
    <w:rsid w:val="4F867431"/>
    <w:rsid w:val="4FB34D53"/>
    <w:rsid w:val="4FC86763"/>
    <w:rsid w:val="4FDC6C80"/>
    <w:rsid w:val="4FEE63A5"/>
    <w:rsid w:val="501D1633"/>
    <w:rsid w:val="50817E19"/>
    <w:rsid w:val="50872DB9"/>
    <w:rsid w:val="508C080E"/>
    <w:rsid w:val="50A229E8"/>
    <w:rsid w:val="50B538E4"/>
    <w:rsid w:val="50C973BA"/>
    <w:rsid w:val="50FC1C26"/>
    <w:rsid w:val="51404490"/>
    <w:rsid w:val="51491D54"/>
    <w:rsid w:val="517155A8"/>
    <w:rsid w:val="51D1413D"/>
    <w:rsid w:val="520F1927"/>
    <w:rsid w:val="52376301"/>
    <w:rsid w:val="52433C7F"/>
    <w:rsid w:val="529E22C3"/>
    <w:rsid w:val="52C05221"/>
    <w:rsid w:val="52D139E5"/>
    <w:rsid w:val="53216007"/>
    <w:rsid w:val="53A13F2C"/>
    <w:rsid w:val="540766D5"/>
    <w:rsid w:val="542A2822"/>
    <w:rsid w:val="551F1BB9"/>
    <w:rsid w:val="558E3A2E"/>
    <w:rsid w:val="55BE092D"/>
    <w:rsid w:val="56034A04"/>
    <w:rsid w:val="56212732"/>
    <w:rsid w:val="564714FA"/>
    <w:rsid w:val="571B2748"/>
    <w:rsid w:val="574D6A08"/>
    <w:rsid w:val="575A1AE0"/>
    <w:rsid w:val="577F7A10"/>
    <w:rsid w:val="57941DBB"/>
    <w:rsid w:val="57970C34"/>
    <w:rsid w:val="57E26AD6"/>
    <w:rsid w:val="5801003C"/>
    <w:rsid w:val="584949BA"/>
    <w:rsid w:val="58557C5C"/>
    <w:rsid w:val="58C53793"/>
    <w:rsid w:val="58C5451F"/>
    <w:rsid w:val="58D32C78"/>
    <w:rsid w:val="58EF4829"/>
    <w:rsid w:val="593B7851"/>
    <w:rsid w:val="59F36DE0"/>
    <w:rsid w:val="59FA7414"/>
    <w:rsid w:val="5A0B55DA"/>
    <w:rsid w:val="5A2D1E8F"/>
    <w:rsid w:val="5AAB1641"/>
    <w:rsid w:val="5AB75D4C"/>
    <w:rsid w:val="5BD52DD9"/>
    <w:rsid w:val="5C3B0123"/>
    <w:rsid w:val="5C7F4E4C"/>
    <w:rsid w:val="5C9B0399"/>
    <w:rsid w:val="5D346C5D"/>
    <w:rsid w:val="5D475FF7"/>
    <w:rsid w:val="5D66355F"/>
    <w:rsid w:val="5D805BC4"/>
    <w:rsid w:val="5D98786A"/>
    <w:rsid w:val="5DD67C29"/>
    <w:rsid w:val="5E201DDB"/>
    <w:rsid w:val="5E6F3432"/>
    <w:rsid w:val="5EB43990"/>
    <w:rsid w:val="5EC72379"/>
    <w:rsid w:val="5ECC7C7C"/>
    <w:rsid w:val="5F872AF8"/>
    <w:rsid w:val="5FCB2230"/>
    <w:rsid w:val="5FE33A6F"/>
    <w:rsid w:val="60137C24"/>
    <w:rsid w:val="60845693"/>
    <w:rsid w:val="608706DD"/>
    <w:rsid w:val="60F17D3B"/>
    <w:rsid w:val="61512F13"/>
    <w:rsid w:val="61916E5B"/>
    <w:rsid w:val="621B0AAD"/>
    <w:rsid w:val="622C09A6"/>
    <w:rsid w:val="624D0249"/>
    <w:rsid w:val="625C5ABD"/>
    <w:rsid w:val="632853A5"/>
    <w:rsid w:val="63711451"/>
    <w:rsid w:val="637F322D"/>
    <w:rsid w:val="63893DC2"/>
    <w:rsid w:val="63A3441F"/>
    <w:rsid w:val="63C51D20"/>
    <w:rsid w:val="641847A6"/>
    <w:rsid w:val="64DB1C3E"/>
    <w:rsid w:val="64EA0506"/>
    <w:rsid w:val="653C240B"/>
    <w:rsid w:val="653D198F"/>
    <w:rsid w:val="655E5AE4"/>
    <w:rsid w:val="65A327FA"/>
    <w:rsid w:val="65D8797F"/>
    <w:rsid w:val="66DD52A9"/>
    <w:rsid w:val="674D7421"/>
    <w:rsid w:val="6784360F"/>
    <w:rsid w:val="685D2FD5"/>
    <w:rsid w:val="68A84B6A"/>
    <w:rsid w:val="68D222A8"/>
    <w:rsid w:val="69D95C5A"/>
    <w:rsid w:val="69FD1B0A"/>
    <w:rsid w:val="6A9E6F96"/>
    <w:rsid w:val="6BB52E32"/>
    <w:rsid w:val="6BF20203"/>
    <w:rsid w:val="6C0124B9"/>
    <w:rsid w:val="6C7F0FBC"/>
    <w:rsid w:val="6D247046"/>
    <w:rsid w:val="6D256D51"/>
    <w:rsid w:val="6D520931"/>
    <w:rsid w:val="6E137BA1"/>
    <w:rsid w:val="6E7C6F3A"/>
    <w:rsid w:val="6ED2303E"/>
    <w:rsid w:val="6EEB078B"/>
    <w:rsid w:val="6F1D2BA3"/>
    <w:rsid w:val="6F9A2898"/>
    <w:rsid w:val="70100B93"/>
    <w:rsid w:val="701027DE"/>
    <w:rsid w:val="70180B87"/>
    <w:rsid w:val="70481B64"/>
    <w:rsid w:val="709777D5"/>
    <w:rsid w:val="70A61BCE"/>
    <w:rsid w:val="714E24C2"/>
    <w:rsid w:val="718E3D5E"/>
    <w:rsid w:val="72EF4EA0"/>
    <w:rsid w:val="72FA7FD3"/>
    <w:rsid w:val="73C01169"/>
    <w:rsid w:val="73E52098"/>
    <w:rsid w:val="73EC66B8"/>
    <w:rsid w:val="74025826"/>
    <w:rsid w:val="74B11059"/>
    <w:rsid w:val="754604F8"/>
    <w:rsid w:val="75DA1DD8"/>
    <w:rsid w:val="75EB4D56"/>
    <w:rsid w:val="76754268"/>
    <w:rsid w:val="77655BCC"/>
    <w:rsid w:val="798306B0"/>
    <w:rsid w:val="79B8719D"/>
    <w:rsid w:val="79D83421"/>
    <w:rsid w:val="7A4973C5"/>
    <w:rsid w:val="7A674361"/>
    <w:rsid w:val="7AB87EE9"/>
    <w:rsid w:val="7C676736"/>
    <w:rsid w:val="7D5549AE"/>
    <w:rsid w:val="7D744F78"/>
    <w:rsid w:val="7D9D1D05"/>
    <w:rsid w:val="7E0F053A"/>
    <w:rsid w:val="7F2E432B"/>
    <w:rsid w:val="7F3B1816"/>
    <w:rsid w:val="7F4F3114"/>
    <w:rsid w:val="7FCA5318"/>
    <w:rsid w:val="7FED1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4">
    <w:name w:val="heading 3"/>
    <w:basedOn w:val="1"/>
    <w:next w:val="1"/>
    <w:link w:val="21"/>
    <w:unhideWhenUsed/>
    <w:qFormat/>
    <w:uiPriority w:val="9"/>
    <w:pPr>
      <w:keepNext/>
      <w:keepLines/>
      <w:spacing w:before="260" w:after="260" w:line="416" w:lineRule="auto"/>
      <w:outlineLvl w:val="2"/>
    </w:pPr>
    <w:rPr>
      <w:b/>
      <w:bCs/>
      <w:sz w:val="32"/>
      <w:szCs w:val="32"/>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 w:type="paragraph" w:styleId="5">
    <w:name w:val="Normal Indent"/>
    <w:basedOn w:val="1"/>
    <w:qFormat/>
    <w:uiPriority w:val="0"/>
    <w:pPr>
      <w:ind w:firstLine="420"/>
    </w:pPr>
  </w:style>
  <w:style w:type="paragraph" w:styleId="6">
    <w:name w:val="Plain Text"/>
    <w:basedOn w:val="1"/>
    <w:qFormat/>
    <w:uiPriority w:val="0"/>
    <w:rPr>
      <w:rFonts w:ascii="宋体" w:hAnsi="Courier New"/>
      <w:szCs w:val="21"/>
    </w:rPr>
  </w:style>
  <w:style w:type="paragraph" w:styleId="7">
    <w:name w:val="Balloon Text"/>
    <w:basedOn w:val="1"/>
    <w:link w:val="20"/>
    <w:unhideWhenUsed/>
    <w:qFormat/>
    <w:uiPriority w:val="99"/>
    <w:rPr>
      <w:sz w:val="18"/>
      <w:szCs w:val="18"/>
    </w:rPr>
  </w:style>
  <w:style w:type="paragraph" w:styleId="8">
    <w:name w:val="footer"/>
    <w:basedOn w:val="1"/>
    <w:link w:val="18"/>
    <w:unhideWhenUsed/>
    <w:qFormat/>
    <w:uiPriority w:val="99"/>
    <w:pPr>
      <w:tabs>
        <w:tab w:val="center" w:pos="4153"/>
        <w:tab w:val="right" w:pos="8306"/>
      </w:tabs>
      <w:snapToGrid w:val="0"/>
      <w:jc w:val="left"/>
    </w:pPr>
    <w:rPr>
      <w:sz w:val="18"/>
      <w:szCs w:val="18"/>
    </w:rPr>
  </w:style>
  <w:style w:type="paragraph" w:styleId="9">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2"/>
    <w:unhideWhenUsed/>
    <w:qFormat/>
    <w:uiPriority w:val="99"/>
    <w:pPr>
      <w:widowControl w:val="0"/>
      <w:autoSpaceDE w:val="0"/>
      <w:autoSpaceDN w:val="0"/>
      <w:spacing w:line="400" w:lineRule="exact"/>
      <w:ind w:firstLine="883" w:firstLineChars="200"/>
    </w:pPr>
    <w:rPr>
      <w:rFonts w:ascii="宋体" w:hAnsi="宋体" w:eastAsia="宋体" w:cs="宋体"/>
      <w:sz w:val="28"/>
      <w:szCs w:val="22"/>
      <w:lang w:val="zh-CN" w:eastAsia="zh-CN" w:bidi="zh-CN"/>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2">
    <w:name w:val="Title"/>
    <w:basedOn w:val="1"/>
    <w:next w:val="1"/>
    <w:qFormat/>
    <w:uiPriority w:val="0"/>
    <w:pPr>
      <w:spacing w:before="240" w:after="60"/>
      <w:jc w:val="center"/>
      <w:outlineLvl w:val="0"/>
    </w:pPr>
    <w:rPr>
      <w:rFonts w:ascii="Calibri Light" w:hAnsi="Calibri Light" w:eastAsia="宋体" w:cs="Times New Roman"/>
      <w:b/>
      <w:bCs/>
      <w:sz w:val="32"/>
      <w:szCs w:val="32"/>
    </w:rPr>
  </w:style>
  <w:style w:type="table" w:styleId="14">
    <w:name w:val="Table Grid"/>
    <w:basedOn w:val="13"/>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22"/>
    <w:rPr>
      <w:b/>
      <w:bCs/>
    </w:rPr>
  </w:style>
  <w:style w:type="character" w:customStyle="1" w:styleId="17">
    <w:name w:val="页眉 Char"/>
    <w:basedOn w:val="15"/>
    <w:link w:val="9"/>
    <w:semiHidden/>
    <w:qFormat/>
    <w:uiPriority w:val="99"/>
    <w:rPr>
      <w:sz w:val="18"/>
      <w:szCs w:val="18"/>
    </w:rPr>
  </w:style>
  <w:style w:type="character" w:customStyle="1" w:styleId="18">
    <w:name w:val="页脚 Char"/>
    <w:basedOn w:val="15"/>
    <w:link w:val="8"/>
    <w:semiHidden/>
    <w:qFormat/>
    <w:uiPriority w:val="99"/>
    <w:rPr>
      <w:sz w:val="18"/>
      <w:szCs w:val="18"/>
    </w:rPr>
  </w:style>
  <w:style w:type="character" w:customStyle="1" w:styleId="19">
    <w:name w:val="标题 1 Char"/>
    <w:basedOn w:val="15"/>
    <w:link w:val="3"/>
    <w:qFormat/>
    <w:uiPriority w:val="9"/>
    <w:rPr>
      <w:rFonts w:ascii="宋体" w:hAnsi="宋体" w:eastAsia="宋体" w:cs="宋体"/>
      <w:b/>
      <w:bCs/>
      <w:kern w:val="36"/>
      <w:sz w:val="48"/>
      <w:szCs w:val="48"/>
    </w:rPr>
  </w:style>
  <w:style w:type="character" w:customStyle="1" w:styleId="20">
    <w:name w:val="批注框文本 Char"/>
    <w:basedOn w:val="15"/>
    <w:link w:val="7"/>
    <w:semiHidden/>
    <w:qFormat/>
    <w:uiPriority w:val="99"/>
    <w:rPr>
      <w:sz w:val="18"/>
      <w:szCs w:val="18"/>
    </w:rPr>
  </w:style>
  <w:style w:type="character" w:customStyle="1" w:styleId="21">
    <w:name w:val="标题 3 Char"/>
    <w:basedOn w:val="15"/>
    <w:link w:val="4"/>
    <w:semiHidden/>
    <w:qFormat/>
    <w:uiPriority w:val="9"/>
    <w:rPr>
      <w:b/>
      <w:bCs/>
      <w:sz w:val="32"/>
      <w:szCs w:val="32"/>
    </w:rPr>
  </w:style>
  <w:style w:type="paragraph" w:customStyle="1" w:styleId="22">
    <w:name w:val="列出段落1"/>
    <w:basedOn w:val="1"/>
    <w:qFormat/>
    <w:uiPriority w:val="34"/>
    <w:pPr>
      <w:ind w:firstLine="420" w:firstLineChars="200"/>
    </w:pPr>
  </w:style>
  <w:style w:type="character" w:customStyle="1" w:styleId="23">
    <w:name w:val="书籍标题1"/>
    <w:qFormat/>
    <w:uiPriority w:val="0"/>
    <w:rPr>
      <w:rFonts w:cs="Times New Roman"/>
      <w:b/>
      <w:bCs/>
      <w:smallCaps/>
      <w:spacing w:val="5"/>
    </w:rPr>
  </w:style>
  <w:style w:type="character" w:customStyle="1" w:styleId="24">
    <w:name w:val="font11"/>
    <w:basedOn w:val="15"/>
    <w:qFormat/>
    <w:uiPriority w:val="0"/>
    <w:rPr>
      <w:rFonts w:hint="eastAsia" w:ascii="宋体" w:hAnsi="宋体" w:eastAsia="宋体" w:cs="宋体"/>
      <w:color w:val="000000"/>
      <w:sz w:val="20"/>
      <w:szCs w:val="20"/>
      <w:u w:val="none"/>
    </w:rPr>
  </w:style>
  <w:style w:type="character" w:customStyle="1" w:styleId="25">
    <w:name w:val="font01"/>
    <w:basedOn w:val="15"/>
    <w:qFormat/>
    <w:uiPriority w:val="0"/>
    <w:rPr>
      <w:rFonts w:ascii="Arial" w:hAnsi="Arial" w:cs="Arial"/>
      <w:color w:val="000000"/>
      <w:sz w:val="20"/>
      <w:szCs w:val="20"/>
      <w:u w:val="none"/>
    </w:rPr>
  </w:style>
  <w:style w:type="paragraph" w:customStyle="1" w:styleId="26">
    <w:name w:val="样式 样式 首行缩进:  2.57 字符 + 首行缩进:  2.57 字符"/>
    <w:basedOn w:val="1"/>
    <w:qFormat/>
    <w:uiPriority w:val="0"/>
    <w:pPr>
      <w:spacing w:line="360" w:lineRule="auto"/>
      <w:ind w:firstLine="771" w:firstLineChars="257"/>
    </w:pPr>
    <w:rPr>
      <w:rFonts w:eastAsia="仿宋" w:cs="宋体"/>
      <w:sz w:val="30"/>
      <w:szCs w:val="30"/>
    </w:rPr>
  </w:style>
  <w:style w:type="paragraph" w:customStyle="1" w:styleId="27">
    <w:name w:val="索引 11"/>
    <w:basedOn w:val="1"/>
    <w:next w:val="1"/>
    <w:qFormat/>
    <w:uiPriority w:val="0"/>
    <w:pPr>
      <w:spacing w:line="360" w:lineRule="auto"/>
    </w:pPr>
    <w:rPr>
      <w:rFonts w:ascii="仿宋_GB2312" w:eastAsia="仿宋_GB2312"/>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23</Pages>
  <Words>1307</Words>
  <Characters>7456</Characters>
  <Lines>62</Lines>
  <Paragraphs>17</Paragraphs>
  <TotalTime>3</TotalTime>
  <ScaleCrop>false</ScaleCrop>
  <LinksUpToDate>false</LinksUpToDate>
  <CharactersWithSpaces>8746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2019-02-11T03:03:00Z</dcterms:created>
  <dc:creator>dreamsummit</dc:creator>
  <cp:lastModifiedBy>沐维娜</cp:lastModifiedBy>
  <cp:lastPrinted>2023-02-13T00:30:00Z</cp:lastPrinted>
  <dcterms:modified xsi:type="dcterms:W3CDTF">2023-11-13T09:41:17Z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766D5C7985B54597BF1C72693E25815D_13</vt:lpwstr>
  </property>
</Properties>
</file>